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cumberland"/>
    <w:p>
      <w:pPr>
        <w:pStyle w:val="Heading1"/>
      </w:pPr>
      <w:r>
        <w:t xml:space="preserve">Town of Cumberland</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general-provisions"/>
    <w:p>
      <w:pPr>
        <w:pStyle w:val="Heading1"/>
      </w:pPr>
      <w:r>
        <w:t xml:space="preserve">§ 1. General Provisions</w:t>
      </w:r>
    </w:p>
    <w:bookmarkEnd w:id="22"/>
    <w:bookmarkStart w:id="23" w:name="statement-of-purposes"/>
    <w:p>
      <w:pPr>
        <w:pStyle w:val="Heading2"/>
      </w:pPr>
      <w:r>
        <w:t xml:space="preserve">§ 1-1. Statement of purposes</w:t>
      </w:r>
    </w:p>
    <w:p>
      <w:pPr>
        <w:pStyle w:val="FirstParagraph"/>
      </w:pPr>
      <w:r>
        <w:rPr>
          <w:i/>
          <w:iCs/>
        </w:rPr>
        <w:t xml:space="preserve">[Ord. No. 08-31, 10-7-2009]</w:t>
      </w:r>
    </w:p>
    <w:p>
      <w:pPr>
        <w:pStyle w:val="BodyText"/>
      </w:pPr>
      <w:r>
        <w:t xml:space="preserve">The zoning districts and regulations set forth in this zoning ordinance are made in accordance with the Town of Cumberland Comprehensive Plan, adopted or amended in accordance with Chapter 45-22.2 of the General Laws of Rhode Island, and for the following purposes:</w:t>
      </w:r>
    </w:p>
    <w:p>
      <w:pPr>
        <w:pStyle w:val="Compact"/>
        <w:numPr>
          <w:ilvl w:val="0"/>
          <w:numId w:val="1001"/>
        </w:numPr>
      </w:pPr>
      <w:r>
        <w:t xml:space="preserve">(a) To promote the public health, safety, and general welfare of the Town.</w:t>
      </w:r>
    </w:p>
    <w:p>
      <w:pPr>
        <w:pStyle w:val="Compact"/>
        <w:numPr>
          <w:ilvl w:val="0"/>
          <w:numId w:val="1001"/>
        </w:numPr>
      </w:pPr>
      <w:r>
        <w:t xml:space="preserve">(b) To provide for a range of uses and intensities of use appropriate to the character of the Town, and reflecting current and expected future needs.</w:t>
      </w:r>
    </w:p>
    <w:p>
      <w:pPr>
        <w:pStyle w:val="Compact"/>
        <w:numPr>
          <w:ilvl w:val="0"/>
          <w:numId w:val="1001"/>
        </w:numPr>
      </w:pPr>
      <w:r>
        <w:t xml:space="preserve">(c) To provide for orderly growth and development, which recognizes:</w:t>
      </w:r>
    </w:p>
    <w:p>
      <w:pPr>
        <w:pStyle w:val="Compact"/>
        <w:numPr>
          <w:ilvl w:val="1"/>
          <w:numId w:val="1002"/>
        </w:numPr>
      </w:pPr>
      <w:r>
        <w:t xml:space="preserve">(1) The goals and patterns of land use contained in the aforesaid comprehensive community plan of the Town;</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the Town's water bodies including the Blackstone River, freshwater ponds, streams and freshwater wetlands;</w:t>
      </w:r>
    </w:p>
    <w:p>
      <w:pPr>
        <w:pStyle w:val="Compact"/>
        <w:numPr>
          <w:ilvl w:val="1"/>
          <w:numId w:val="1002"/>
        </w:numPr>
      </w:pPr>
      <w:r>
        <w:t xml:space="preserve">(4) That much of the Town land area is within the watershed of a public water supply reservoir, including the Diamond Hill, Arnold Mills, Sneech Pond, Abbott Run and Happy Hollow Reservoirs;</w:t>
      </w:r>
    </w:p>
    <w:p>
      <w:pPr>
        <w:pStyle w:val="Compact"/>
        <w:numPr>
          <w:ilvl w:val="1"/>
          <w:numId w:val="1002"/>
        </w:numPr>
      </w:pPr>
      <w:r>
        <w:t xml:space="preserve">(5) The values of unique or valuable natural resources and features;</w:t>
      </w:r>
    </w:p>
    <w:p>
      <w:pPr>
        <w:pStyle w:val="Compact"/>
        <w:numPr>
          <w:ilvl w:val="1"/>
          <w:numId w:val="1002"/>
        </w:numPr>
      </w:pPr>
      <w:r>
        <w:t xml:space="preserve">(6) The availability and capacity of existing and planned public and/or private services and facilities;</w:t>
      </w:r>
    </w:p>
    <w:p>
      <w:pPr>
        <w:pStyle w:val="Compact"/>
        <w:numPr>
          <w:ilvl w:val="1"/>
          <w:numId w:val="1002"/>
        </w:numPr>
      </w:pPr>
      <w:r>
        <w:t xml:space="preserve">(7) The need to shape and balance urban, suburban and rural development; and</w:t>
      </w:r>
    </w:p>
    <w:p>
      <w:pPr>
        <w:pStyle w:val="Compact"/>
        <w:numPr>
          <w:ilvl w:val="1"/>
          <w:numId w:val="1002"/>
        </w:numPr>
      </w:pPr>
      <w:r>
        <w:t xml:space="preserve">(8) The use of innovative development regulations and techniques.</w:t>
      </w:r>
    </w:p>
    <w:p>
      <w:pPr>
        <w:pStyle w:val="Compact"/>
        <w:numPr>
          <w:ilvl w:val="0"/>
          <w:numId w:val="1001"/>
        </w:numPr>
      </w:pPr>
      <w:r>
        <w:t xml:space="preserve">(d) To provide for the control, protection, and/or abatement of air, water, groundwater, and noise pollution, and soil erosion and sedimentation.</w:t>
      </w:r>
    </w:p>
    <w:p>
      <w:pPr>
        <w:pStyle w:val="Compact"/>
        <w:numPr>
          <w:ilvl w:val="0"/>
          <w:numId w:val="1001"/>
        </w:numPr>
      </w:pPr>
      <w:r>
        <w:t xml:space="preserve">(e) To provide for the protection of the natural, historic, cultural, and scenic character of the Town or areas therein.</w:t>
      </w:r>
    </w:p>
    <w:p>
      <w:pPr>
        <w:pStyle w:val="Compact"/>
        <w:numPr>
          <w:ilvl w:val="0"/>
          <w:numId w:val="1001"/>
        </w:numPr>
      </w:pPr>
      <w:r>
        <w:t xml:space="preserve">(f) To provide for the preservation and promotion of agricultural production, open space and recreation resources of the Town.</w:t>
      </w:r>
    </w:p>
    <w:p>
      <w:pPr>
        <w:pStyle w:val="Compact"/>
        <w:numPr>
          <w:ilvl w:val="0"/>
          <w:numId w:val="1001"/>
        </w:numPr>
      </w:pPr>
      <w:r>
        <w:t xml:space="preserve">(g) To provide for the preservation and enhancement of agricultural uses and landscapes of the Town.</w:t>
      </w:r>
    </w:p>
    <w:p>
      <w:pPr>
        <w:pStyle w:val="Compact"/>
        <w:numPr>
          <w:ilvl w:val="0"/>
          <w:numId w:val="1001"/>
        </w:numPr>
      </w:pPr>
      <w:r>
        <w:t xml:space="preserve">(h) 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(i) To promote a balance of housing choices, for all income levels and groups, to assure the health, safety, and welfare of all citizens and their rights to affordable, accessible, safe and sanitary housing, and to provide housing opportunities in particular for persons of low and moderate income, as defined by state law.</w:t>
      </w:r>
    </w:p>
    <w:p>
      <w:pPr>
        <w:pStyle w:val="Compact"/>
        <w:numPr>
          <w:ilvl w:val="0"/>
          <w:numId w:val="1001"/>
        </w:numPr>
      </w:pPr>
      <w:r>
        <w:t xml:space="preserve">(j) To promote safety from fire, flood, and other natural or manmade disasters.</w:t>
      </w:r>
    </w:p>
    <w:p>
      <w:pPr>
        <w:pStyle w:val="Compact"/>
        <w:numPr>
          <w:ilvl w:val="0"/>
          <w:numId w:val="1001"/>
        </w:numPr>
      </w:pPr>
      <w:r>
        <w:t xml:space="preserve">(k) To promote a high level of quality in design in the development of private and public facilities.</w:t>
      </w:r>
    </w:p>
    <w:p>
      <w:pPr>
        <w:pStyle w:val="Compact"/>
        <w:numPr>
          <w:ilvl w:val="0"/>
          <w:numId w:val="1001"/>
        </w:numPr>
      </w:pPr>
      <w:r>
        <w:t xml:space="preserve">(l) To promote implementation of the comprehensive community plan, as amended, of the Town.</w:t>
      </w:r>
    </w:p>
    <w:p>
      <w:pPr>
        <w:pStyle w:val="Compact"/>
        <w:numPr>
          <w:ilvl w:val="0"/>
          <w:numId w:val="1001"/>
        </w:numPr>
      </w:pPr>
      <w:r>
        <w:t xml:space="preserve">(m) To provide for coordination of land uses, resources and facilities with contiguous municipalities, other municipalities, the state and other agencies.</w:t>
      </w:r>
    </w:p>
    <w:p>
      <w:pPr>
        <w:pStyle w:val="Compact"/>
        <w:numPr>
          <w:ilvl w:val="0"/>
          <w:numId w:val="1001"/>
        </w:numPr>
      </w:pPr>
      <w:r>
        <w:t xml:space="preserve">(n) To provide for efficient review of development proposals, and to clarify and expedite the zoning approval process.</w:t>
      </w:r>
    </w:p>
    <w:p>
      <w:pPr>
        <w:pStyle w:val="Compact"/>
        <w:numPr>
          <w:ilvl w:val="0"/>
          <w:numId w:val="1001"/>
        </w:numPr>
      </w:pPr>
      <w:r>
        <w:t xml:space="preserve">(o) To provide opportunities for reasonable accommodations in order to comply with the Rhode Island Fair Housing Practices Act, the United States Fair Housing Amendments Act of 1988, the Rhode Island Civil Rights of Persons with Disabilities Act, and the Americans with Disabilities Act.</w:t>
      </w:r>
    </w:p>
    <w:p>
      <w:pPr>
        <w:pStyle w:val="Compact"/>
        <w:numPr>
          <w:ilvl w:val="0"/>
          <w:numId w:val="1001"/>
        </w:numPr>
      </w:pPr>
      <w:r>
        <w:t xml:space="preserve">(p) To provide for procedures for the administration of this appendix.</w:t>
      </w:r>
    </w:p>
    <w:bookmarkEnd w:id="23"/>
    <w:bookmarkStart w:id="24" w:name="compliance-with-ordinance"/>
    <w:p>
      <w:pPr>
        <w:pStyle w:val="Heading2"/>
      </w:pPr>
      <w:r>
        <w:t xml:space="preserve">§ 1-2. Compliance with ordinance</w:t>
      </w:r>
    </w:p>
    <w:p>
      <w:pPr>
        <w:pStyle w:val="FirstParagraph"/>
      </w:pPr>
      <w:r>
        <w:rPr>
          <w:i/>
          <w:iCs/>
        </w:rPr>
        <w:t xml:space="preserve">[Ord. No. 08-31, 10-7-2009]</w:t>
      </w:r>
    </w:p>
    <w:p>
      <w:pPr>
        <w:pStyle w:val="Compact"/>
        <w:numPr>
          <w:ilvl w:val="0"/>
          <w:numId w:val="1003"/>
        </w:numPr>
      </w:pPr>
      <w:r>
        <w:t xml:space="preserve">(a) Conformance with permitted use. No building or structure shall be erected, reconstructed, or enlarged for any use other than that which is permitted in the zone in which such building, structure or land is located. No building or structure shall be moved to new site unless that site is zoned to permit the use intended for such building or structure. Nor shall any building, structure or land be used for any use other than is permitted in the zone in which it is located.</w:t>
      </w:r>
    </w:p>
    <w:p>
      <w:pPr>
        <w:pStyle w:val="Compact"/>
        <w:numPr>
          <w:ilvl w:val="0"/>
          <w:numId w:val="1003"/>
        </w:numPr>
      </w:pPr>
      <w:r>
        <w:t xml:space="preserve">(b) Dimensional conformance. Except as hereinafter provided, no building or structure shall be erected, enlarged, or reconstructed to exceed the dimensional limits established for the zone wherein such building or structure is located.</w:t>
      </w:r>
    </w:p>
    <w:p>
      <w:pPr>
        <w:pStyle w:val="Compact"/>
        <w:numPr>
          <w:ilvl w:val="0"/>
          <w:numId w:val="1003"/>
        </w:numPr>
      </w:pPr>
      <w:r>
        <w:t xml:space="preserve">(c) Lot area conformance. No new lot shall be created, nor shall an existing lot be reduced or diminished except in conformance with the dimensional requirements of this appendix, nor shall the number of dwelling units or occupancy thereon be increased in any manner except in conformance with the dimensional requirements of this appendix. The lot or yard areas of buildings existing at the time this appendix became effective shall not be diminished below the requirements herein provided. The required yard or parking area for a building shall not be included as a part of the required yard or parking area of any other building.</w:t>
      </w:r>
    </w:p>
    <w:bookmarkEnd w:id="24"/>
    <w:bookmarkStart w:id="25" w:name="consistency-with-comprehensive-plan"/>
    <w:p>
      <w:pPr>
        <w:pStyle w:val="Heading2"/>
      </w:pPr>
      <w:r>
        <w:t xml:space="preserve">§ 1-3. Consistency with Comprehensive Plan</w:t>
      </w:r>
    </w:p>
    <w:p>
      <w:pPr>
        <w:pStyle w:val="FirstParagraph"/>
      </w:pPr>
      <w:r>
        <w:rPr>
          <w:i/>
          <w:iCs/>
        </w:rPr>
        <w:t xml:space="preserve">[Ord. No. 08-31, 10-7-2009]</w:t>
      </w:r>
    </w:p>
    <w:p>
      <w:pPr>
        <w:pStyle w:val="BodyText"/>
      </w:pPr>
      <w:r>
        <w:t xml:space="preserve">This appendix is consistent with the Town of Cumberland Comprehensive Plan, adopted or amended pursuant to Chapter 45-22.2 of the General Laws of Rhode Island. In the instance of uncertainty in the construction or application of any section of this appendix, this appendix shall be construed in a manner that will further the implementation of, and not be contrary to, the goals and policies and applicable elements of such Comprehensive Community Plan.</w:t>
      </w:r>
    </w:p>
    <w:bookmarkEnd w:id="25"/>
    <w:bookmarkStart w:id="26" w:name="definitions"/>
    <w:p>
      <w:pPr>
        <w:pStyle w:val="Heading1"/>
      </w:pPr>
      <w:r>
        <w:t xml:space="preserve">§ 2. Definitions</w:t>
      </w:r>
    </w:p>
    <w:bookmarkEnd w:id="26"/>
    <w:bookmarkStart w:id="27" w:name="terms-defined"/>
    <w:p>
      <w:pPr>
        <w:pStyle w:val="Heading2"/>
      </w:pPr>
      <w:r>
        <w:t xml:space="preserve">§ 2-1. Terms defined</w:t>
      </w:r>
    </w:p>
    <w:p>
      <w:pPr>
        <w:pStyle w:val="FirstParagraph"/>
      </w:pPr>
      <w:r>
        <w:rPr>
          <w:i/>
          <w:iCs/>
        </w:rPr>
        <w:t xml:space="preserve">[Ord. No. 08-31, 10-7-2009; Ord. No. 11-02A, § 1, 8-17-2011; Ord. No. 13-23-A, § 1, 2-19-2014; amended 4-7-2021 by Ord. No. 21-01A; 12-6-2023 by Ord. No. 23-26; 12-3-2025 by Ord. No. 25-21; Ord. No. 26-03]</w:t>
      </w:r>
    </w:p>
    <w:p>
      <w:pPr>
        <w:pStyle w:val="BodyText"/>
      </w:pPr>
      <w:r>
        <w:t xml:space="preserve">For the purposes of this appendix, the following terms shall have the meanings respectively ascribed to them in this section. Where terms are not defined they shall have the meaning customarily assigned to them. The word "may" is discretionary; the word "shall" is mandatory.</w:t>
      </w:r>
    </w:p>
    <w:p>
      <w:pPr>
        <w:pStyle w:val="BodyText"/>
      </w:pPr>
      <w:r>
        <w:t xml:space="preserve">ABUTTER — One whose property abuts, that is, adjoins at a border, boundary, or point with no intervening land.</w:t>
      </w:r>
    </w:p>
    <w:p>
      <w:pPr>
        <w:pStyle w:val="BodyText"/>
      </w:pPr>
      <w:r>
        <w:t xml:space="preserve">ACCESSORY BUILDING — In residential zones, a subordinate building that is located on the same lot as a principal building and that is used incidentally to the principal building or that houses an accessory use. Where a substantial part of the wall of an accessory building is part of the wall of the principal building, or where an accessory building is attached to the principal building in a substantial manner as by a roof, such accessory building shall be counted as part of the principal building.</w:t>
      </w:r>
    </w:p>
    <w:p>
      <w:pPr>
        <w:pStyle w:val="BodyText"/>
      </w:pPr>
      <w:r>
        <w:t xml:space="preserve">ACCESSORY DWELLING UNIT (ADU) — A residential living unit on the same lot where the principal use is a legally established single-family dwelling unit or multi-family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BodyText"/>
      </w:pPr>
      <w:r>
        <w:t xml:space="preserve">ACCESSORY USE — A use of land or of a building, or portion thereof, customarily incidental and subordinate to the principal use of land or building. Such accessory use shall be restricted to the same lot as the principal use. Such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ADJACENT LOTS — Two or more lots of record, which have one common boundary or more.</w:t>
      </w:r>
    </w:p>
    <w:p>
      <w:pPr>
        <w:pStyle w:val="BodyText"/>
      </w:pPr>
      <w:r>
        <w:t xml:space="preserve">AGGRIEVED PARTY — An aggrieved party, for purposes of this appendix shall be:</w:t>
      </w:r>
    </w:p>
    <w:p>
      <w:pPr>
        <w:pStyle w:val="Compact"/>
        <w:numPr>
          <w:ilvl w:val="0"/>
          <w:numId w:val="1004"/>
        </w:numPr>
      </w:pPr>
      <w:r>
        <w:t xml:space="preserve">(a) Any person or persons or entity or entities who can demonstrate that their property will be injured by a decision of any officer or agency responsible for administering this appendix; or</w:t>
      </w:r>
    </w:p>
    <w:p>
      <w:pPr>
        <w:pStyle w:val="Compact"/>
        <w:numPr>
          <w:ilvl w:val="0"/>
          <w:numId w:val="1004"/>
        </w:numPr>
      </w:pPr>
      <w:r>
        <w:t xml:space="preserve">(b) Anyone requiring notice pursuant to this appendix.</w:t>
      </w:r>
    </w:p>
    <w:p>
      <w:pPr>
        <w:pStyle w:val="FirstParagraph"/>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w:t>
      </w:r>
    </w:p>
    <w:p>
      <w:pPr>
        <w:pStyle w:val="BodyText"/>
      </w:pPr>
      <w:r>
        <w:t xml:space="preserve">APPURTENANCES — Features other than primary or secondary structures which contribute to the exterior appearance of a property including, but not limited to, paving, doors, windows, signs, materials, decorative accessories, fences, and landscape features.</w:t>
      </w:r>
    </w:p>
    <w:p>
      <w:pPr>
        <w:pStyle w:val="BodyText"/>
      </w:pPr>
      <w:r>
        <w:t xml:space="preserve">BASEMENT — That portion of a building included between the upper surface of its floor and the upper surface of the floor next above, having more than 1/2 of its height above the average elevation of the finished lot grade adjoining the building.</w:t>
      </w:r>
    </w:p>
    <w:p>
      <w:pPr>
        <w:pStyle w:val="BodyText"/>
      </w:pPr>
      <w:r>
        <w:t xml:space="preserve">BLOCK FRONTAGE — All the property fronting on one side of a street between intersecting or intercepting streets or between a street and right-of-way, waterway, end of dead-end street or Town boundary measured along the street line.</w:t>
      </w:r>
    </w:p>
    <w:p>
      <w:pPr>
        <w:pStyle w:val="BodyText"/>
      </w:pPr>
      <w:r>
        <w:t xml:space="preserve">BUFFER — An area of undeveloped land, measured from a property line, that is maintained in a natural or landscaped condition and is intended to screen, separate, and mitigate the visual, noise, and land-use impacts of development on adjacent properties, zoning districts, or rights-of-way. Buffers shall consist of vegetative plantings and may include berms, walls, or fences where expressly permitted by this chapter.</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bulk or other regulations, and/or any combination thereof.</w:t>
      </w:r>
    </w:p>
    <w:p>
      <w:pPr>
        <w:pStyle w:val="BodyText"/>
      </w:pPr>
      <w:r>
        <w:t xml:space="preserve">BUILDING FRONTAGE — The width of a building abutting or parallel to the street line.</w:t>
      </w:r>
    </w:p>
    <w:p>
      <w:pPr>
        <w:pStyle w:val="BodyText"/>
      </w:pPr>
      <w:r>
        <w:t xml:space="preserve">BUILDING HEIGHT — The vertical distance measured from the grade, as defined herein, on the street frontage of the building, to the highest point of the roof structure. The distance excludes certain roof structures and is otherwise modified in § 5-7 of this appendix.</w:t>
      </w:r>
    </w:p>
    <w:p>
      <w:pPr>
        <w:pStyle w:val="BodyText"/>
      </w:pPr>
      <w:r>
        <w:t xml:space="preserve">BUILDING OFFICIAL — The Building Official of the Town of Cumberland who is also the zoning enforcement officer.</w:t>
      </w:r>
    </w:p>
    <w:p>
      <w:pPr>
        <w:pStyle w:val="BodyText"/>
      </w:pPr>
      <w:r>
        <w:t xml:space="preserve">CELLAR — That portion of a building included between the upper surface of its floor and the upper surface of the floor next above, having less than 1/2 its height above the average elevation of the finished lot grade adjoining the building.</w:t>
      </w:r>
    </w:p>
    <w:p>
      <w:pPr>
        <w:pStyle w:val="BodyText"/>
      </w:pPr>
      <w:r>
        <w:t xml:space="preserve">COMMON OWNERSHIP — Either:</w:t>
      </w:r>
    </w:p>
    <w:p>
      <w:pPr>
        <w:pStyle w:val="Compact"/>
        <w:numPr>
          <w:ilvl w:val="0"/>
          <w:numId w:val="1005"/>
        </w:numPr>
      </w:pPr>
      <w:r>
        <w:t xml:space="preserve">(a) Ownership by one or more individuals or entities in any form of ownership of two or more contiguous lots; or</w:t>
      </w:r>
    </w:p>
    <w:p>
      <w:pPr>
        <w:pStyle w:val="Compact"/>
        <w:numPr>
          <w:ilvl w:val="0"/>
          <w:numId w:val="1005"/>
        </w:numPr>
      </w:pPr>
      <w:r>
        <w:t xml:space="preserve">(b) Ownership by an association (including a municipality) of one or more lots under specific development techniques.</w:t>
      </w:r>
    </w:p>
    <w:p>
      <w:pPr>
        <w:pStyle w:val="FirstParagraph"/>
      </w:pPr>
      <w:r>
        <w:t xml:space="preserve">COMPREHENSIVE PLAN — The Comprehensive Community Plan adopted by the Town and approved pursuant to G.L. § 45-22.2-1 et seq.</w:t>
      </w:r>
    </w:p>
    <w:p>
      <w:pPr>
        <w:pStyle w:val="BodyText"/>
      </w:pPr>
      <w:r>
        <w:t xml:space="preserve">CONSERVATION DEVELOPMENT — A type of land development project which allows the Town to guide growth to the most appropriate areas within a parcel of land to avoid impacts to the environment and to protect the character-defining features of the property (see Article 11).</w:t>
      </w:r>
    </w:p>
    <w:p>
      <w:pPr>
        <w:pStyle w:val="BodyText"/>
      </w:pPr>
      <w:r>
        <w:t xml:space="preserve">DEMOLITION — An act or process that destroys a structure or its appurtenances, in part or in whole.</w:t>
      </w:r>
    </w:p>
    <w:p>
      <w:pPr>
        <w:pStyle w:val="BodyText"/>
      </w:pPr>
      <w:r>
        <w:t xml:space="preserve">DENSITY — The number of households or dwelling units per unit of land.</w:t>
      </w:r>
    </w:p>
    <w:p>
      <w:pPr>
        <w:pStyle w:val="BodyText"/>
      </w:pPr>
      <w:r>
        <w:t xml:space="preserve">DETACHED BUILDING — A building having no party wall in common with another building.</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REVIEW — The process whereby the Planning Board is authorized to review the site plans, maps and other documentation of a development to determine the compliance with the stated purposes and standards of this appendix (see Article 12).</w:t>
      </w:r>
    </w:p>
    <w:p>
      <w:pPr>
        <w:pStyle w:val="BodyText"/>
      </w:pPr>
      <w:r>
        <w:t xml:space="preserve">DIRECTOR — Director of the Department of Planning and Community Development of the Town of Cumberland.</w:t>
      </w:r>
    </w:p>
    <w:p>
      <w:pPr>
        <w:pStyle w:val="BodyText"/>
      </w:pPr>
      <w:r>
        <w:t xml:space="preserve">DISTRICT — See "Zoning district."</w:t>
      </w:r>
    </w:p>
    <w:p>
      <w:pPr>
        <w:pStyle w:val="BodyText"/>
      </w:pPr>
      <w:r>
        <w:t xml:space="preserve">DRAINAGE SYSTEM — A system of the removal of water from land by drains, grading or other appropriate means. Such techniques may include runoff controls to minimize erosion and sedimentation during and after construction or development, the means for preserving surface and ground waters and the prevention and/or alleviation of flooding.</w:t>
      </w:r>
    </w:p>
    <w:p>
      <w:pPr>
        <w:pStyle w:val="BodyText"/>
      </w:pPr>
      <w:r>
        <w:t xml:space="preserve">DRIVEWAY — That portion of a lot that consists of a travel lane used to access a parking area or garage and which is bounded on either side by an area that is not part of the parking area.</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EXTERIOR ALTERATION — An action that changes one or more of the exterior architectural features of a structure or its appurtenances, including, but not limited to, the erection, construction, reconstruction, or removal of any structure or appurtenance.</w:t>
      </w:r>
    </w:p>
    <w:p>
      <w:pPr>
        <w:pStyle w:val="BodyText"/>
      </w:pPr>
      <w:r>
        <w:t xml:space="preserve">FAMILY — A person or persons related by blood, marriage or other legal means (see also "Household").</w:t>
      </w:r>
    </w:p>
    <w:p>
      <w:pPr>
        <w:pStyle w:val="BodyText"/>
      </w:pPr>
      <w:r>
        <w:t xml:space="preserve">FRONT YARD — A yard extending across the width of the lot, bounded by the required side yards, the building frontage and the street, and which is open, unoccupied and unobstructed by buildings or structures from the ground to the sky, except as otherwise provided in this appendix.</w:t>
      </w:r>
    </w:p>
    <w:p>
      <w:pPr>
        <w:pStyle w:val="BodyText"/>
      </w:pPr>
      <w:r>
        <w:t xml:space="preserve">GARAGE (PRIVATE) — A detached accessory building or portion of a principal building used for storage of vehicles, and provided that, if more than two vehicles are stored therein, the capacity does not exceed one vehicle for each 2,500 square feet of lot area.</w:t>
      </w:r>
    </w:p>
    <w:p>
      <w:pPr>
        <w:pStyle w:val="BodyText"/>
      </w:pPr>
      <w:r>
        <w:t xml:space="preserve">GFA (GROSS FLOOR AREA) — The sum of the gross horizontal area of the several floors of a building measured from the exterior face of exterior walls, but not including interior parking spaces, loading spaces for motor vehicles, or any space where the floor to ceiling height is less than six feet.</w:t>
      </w:r>
    </w:p>
    <w:p>
      <w:pPr>
        <w:pStyle w:val="BodyText"/>
      </w:pPr>
      <w:r>
        <w:t xml:space="preserve">GRADE — A reference plane representing the average of finished ground level adjoining the building at all exterior walls. When the finished ground level slopes away from the exterior walls, the reference plane shall be established by the lowest points within the area between the building and the lot line, or when the lot line is more than six feet from the building, between the building and a point six feet from the building.</w:t>
      </w:r>
    </w:p>
    <w:p>
      <w:pPr>
        <w:pStyle w:val="BodyText"/>
      </w:pPr>
      <w:r>
        <w:t xml:space="preserve">HISTORIC DISTRICT COMMISSION (HDC) — The Historic District Commission of the Town of Cumberland.</w:t>
      </w:r>
    </w:p>
    <w:p>
      <w:pPr>
        <w:pStyle w:val="BodyText"/>
      </w:pPr>
      <w:r>
        <w:t xml:space="preserve">HOME OCCUPATION — Any activity customarily carried out for gain by a resident, which is conducted as an accessory use in the resident's dwelling unit. (See § 6-6.)</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Any individual household shall consist of any one of the following:</w:t>
      </w:r>
    </w:p>
    <w:p>
      <w:pPr>
        <w:pStyle w:val="Compact"/>
        <w:numPr>
          <w:ilvl w:val="0"/>
          <w:numId w:val="1006"/>
        </w:numPr>
      </w:pPr>
      <w:r>
        <w:t xml:space="preserve">(a) A family, which may also include servants and employees living with the family, or</w:t>
      </w:r>
    </w:p>
    <w:p>
      <w:pPr>
        <w:pStyle w:val="Compact"/>
        <w:numPr>
          <w:ilvl w:val="0"/>
          <w:numId w:val="1006"/>
        </w:numPr>
      </w:pPr>
      <w:r>
        <w:t xml:space="preserve">(b) A person or group of not more than three unrelated persons living together.</w:t>
      </w:r>
    </w:p>
    <w:p>
      <w:pPr>
        <w:pStyle w:val="FirstParagraph"/>
      </w:pPr>
      <w:r>
        <w:t xml:space="preserve">INCENTIVE ZONING — The process whereby the Planning Board may grant additional development capacity in exchange for the developer's provision of a public benefit or amenity as specified in this appendix.</w:t>
      </w:r>
    </w:p>
    <w:p>
      <w:pPr>
        <w:pStyle w:val="BodyText"/>
      </w:pPr>
      <w:r>
        <w:t xml:space="preserve">INFRASTRUCTURE — Facilities and services needed to sustain residential, commercial, industrial, institutional, and other activities.</w:t>
      </w:r>
    </w:p>
    <w:p>
      <w:pPr>
        <w:pStyle w:val="BodyText"/>
      </w:pPr>
      <w:r>
        <w:t xml:space="preserve">LAND DEVELOPMENT PROJECT — A project in which one or more lots, tracts or parcels of land are to be developed or redeveloped as a coordinated site for a complex of uses, units or structures, including, but not limited to, planned development and/or cluster or conservation development for residential, commercial, institutional, recreational, open space and/or mixed-used as may be provided for in this appendix. (See Article 12.)</w:t>
      </w:r>
    </w:p>
    <w:p>
      <w:pPr>
        <w:pStyle w:val="BodyText"/>
      </w:pPr>
      <w:r>
        <w:t xml:space="preserve">LAND UNSUITABLE FOR DEVELOPMENT — Land which has severe or very severe limitations for development (see § 5-8).</w:t>
      </w:r>
    </w:p>
    <w:p>
      <w:pPr>
        <w:pStyle w:val="BodyText"/>
      </w:pPr>
      <w:r>
        <w:t xml:space="preserve">LESS RESTRICTIVE ZONE — The order of zoning use district from less restrictive to more restrictive is: I-2, I-1, C-2, C-1, R-3, R-2, R-1, A-2, A-1, OS.</w:t>
      </w:r>
    </w:p>
    <w:p>
      <w:pPr>
        <w:pStyle w:val="BodyText"/>
      </w:pPr>
      <w:r>
        <w:t xml:space="preserve">LOT — Either:</w:t>
      </w:r>
    </w:p>
    <w:p>
      <w:pPr>
        <w:pStyle w:val="Compact"/>
        <w:numPr>
          <w:ilvl w:val="0"/>
          <w:numId w:val="1007"/>
        </w:numPr>
      </w:pPr>
      <w:r>
        <w:t xml:space="preserve">(a) The basic development unit for determination of lot area, depth, and other dimensional regulations, or</w:t>
      </w:r>
    </w:p>
    <w:p>
      <w:pPr>
        <w:pStyle w:val="Compact"/>
        <w:numPr>
          <w:ilvl w:val="0"/>
          <w:numId w:val="1007"/>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usually reported in acres or square feet.</w:t>
      </w:r>
    </w:p>
    <w:p>
      <w:pPr>
        <w:pStyle w:val="BodyText"/>
      </w:pPr>
      <w:r>
        <w:t xml:space="preserve">LOT BUILDING COVERAGE — That portion of the lot that is or may be covered by buildings and accessory buildings.</w:t>
      </w:r>
    </w:p>
    <w:p>
      <w:pPr>
        <w:pStyle w:val="BodyText"/>
      </w:pPr>
      <w:r>
        <w:t xml:space="preserve">LOT COVERAGE — That portion of the lot that is or may be covered by impervious surfaces including all buildings, structures and paved surfaces such as driveways and parking areas, and any other surface that restricts water from infiltrating into the ground. In residential zone, paved driveways of up to 320 feet should not be included. Gravel driveways, walkways and patios constructed using permeable pavements are not included as impervious surfaces.</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portion of a lot abutting a street. Where all lot frontage is not contiguous, then only the largest single portion of such lot frontage will be considered with regard to minimum frontage requirements.</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008"/>
        </w:numPr>
      </w:pPr>
      <w:r>
        <w:t xml:space="preserve">(a) FRONTAny lot line separating a lot from a street right-of-way;</w:t>
      </w:r>
    </w:p>
    <w:p>
      <w:pPr>
        <w:pStyle w:val="Compact"/>
        <w:numPr>
          <w:ilvl w:val="0"/>
          <w:numId w:val="1008"/>
        </w:numPr>
      </w:pPr>
      <w:r>
        <w:t xml:space="preserve">(b) REARThe lot line opposite and most distant from the front lot line, or in the case of triangular or otherwise irregularly shaped lots, an assumed line at least 10 feet in length entirely within the lot, parallel to and at a maximum distance from the front lot line; and</w:t>
      </w:r>
    </w:p>
    <w:p>
      <w:pPr>
        <w:pStyle w:val="Compact"/>
        <w:numPr>
          <w:ilvl w:val="0"/>
          <w:numId w:val="1008"/>
        </w:numPr>
      </w:pPr>
      <w:r>
        <w:t xml:space="preserve">(c) SIDEAny lot line other than a front or rear lot line. On a corner lot, or irregularly shaped lot, there may be more than one front lot line, and consequently, more than one rear lot line.</w:t>
      </w:r>
    </w:p>
    <w:p>
      <w:pPr>
        <w:pStyle w:val="FirstParagraph"/>
      </w:pPr>
      <w:r>
        <w:t xml:space="preserve">LOT WIDTH — The horizontal distance between the sidelines of a lot measured at right angles to its depth along a straight line parallel to the front line at the minimum front setback line.</w:t>
      </w:r>
    </w:p>
    <w:p>
      <w:pPr>
        <w:pStyle w:val="BodyText"/>
      </w:pPr>
      <w:r>
        <w:t xml:space="preserve">LOT, CORNER — A lot at the junction of and fronting on two or more intersecting streets.</w:t>
      </w:r>
    </w:p>
    <w:p>
      <w:pPr>
        <w:pStyle w:val="BodyText"/>
      </w:pPr>
      <w:r>
        <w:t xml:space="preserve">LOT, THROUGH — A lot which fronts upon two parallel or approximately parallel streets, or which fronts upon two streets which do not intersect at the boundaries of the lot.</w:t>
      </w:r>
    </w:p>
    <w:p>
      <w:pPr>
        <w:pStyle w:val="BodyText"/>
      </w:pPr>
      <w:r>
        <w:t xml:space="preserve">MIXED-USE — A mixture of land uses within a single development, building or lot. Under no circumstances shall a second principal use be regarded as accessory to another. Each use of the property, whether or not combined with another, must be permitted in the zoning district and must each comply with all dimensional and other zoning requirements.</w:t>
      </w:r>
    </w:p>
    <w:p>
      <w:pPr>
        <w:pStyle w:val="BodyText"/>
      </w:pPr>
      <w:r>
        <w:t xml:space="preserve">MOBILE HOME — A structure designed or used for residential occupancy built upon or having a frame or chassis to which wheels may be attached by which it may be moved upon a street or highway, and whether or not such structure actually has, at any given time, such wheels attached, or is jacked up or skirted, or attached to a permanent slab foundation is located on jacks or on a permanent foundation and connected to utilities.</w:t>
      </w:r>
    </w:p>
    <w:p>
      <w:pPr>
        <w:pStyle w:val="BodyText"/>
      </w:pPr>
      <w:r>
        <w:t xml:space="preserve">MODIFICATION — Permission granted and administered by the Building Official to grant a dimensional variance, other than lot area requirements, but not to exceed 10% of each of the applicable dimensional requirements (see § 18-5).</w:t>
      </w:r>
    </w:p>
    <w:p>
      <w:pPr>
        <w:pStyle w:val="BodyText"/>
      </w:pPr>
      <w:r>
        <w:t xml:space="preserve">MORE RESTRICTIVE ZONE — The order of zoning use district from more restrictive to less restrictive is: OS, A-1, A-2, R-1, R-2, R-3, C-1, C-2, I-1, I-2.</w:t>
      </w:r>
    </w:p>
    <w:p>
      <w:pPr>
        <w:pStyle w:val="BodyText"/>
      </w:pPr>
      <w:r>
        <w:t xml:space="preserve">NONCONFORMANCE — A building, structure or parcel of land, or use thereof, lawfully existing at the time of the adoption or amendment of this appendix and not in conformity with the provisions of the ordinance or amendment (see Article 16).</w:t>
      </w:r>
    </w:p>
    <w:p>
      <w:pPr>
        <w:pStyle w:val="BodyText"/>
      </w:pPr>
      <w:r>
        <w:t xml:space="preserve">OVERLAY DISTRICT — A district that is superimposed on one or more district or parts of districts and that imposes specified requirements in addition to, but not less than, those otherwise applicable for the underlying zone and or which allows alternate uses.</w:t>
      </w:r>
    </w:p>
    <w:p>
      <w:pPr>
        <w:pStyle w:val="BodyText"/>
      </w:pPr>
      <w:r>
        <w:t xml:space="preserve">OWNER — Any person, agent, firm or corporation who, alone, jointly or severally with others:</w:t>
      </w:r>
    </w:p>
    <w:p>
      <w:pPr>
        <w:pStyle w:val="Compact"/>
        <w:numPr>
          <w:ilvl w:val="0"/>
          <w:numId w:val="1009"/>
        </w:numPr>
      </w:pPr>
      <w:r>
        <w:t xml:space="preserve">(a) Shall have legal or record title to any property; or</w:t>
      </w:r>
    </w:p>
    <w:p>
      <w:pPr>
        <w:pStyle w:val="Compact"/>
        <w:numPr>
          <w:ilvl w:val="0"/>
          <w:numId w:val="1009"/>
        </w:numPr>
      </w:pPr>
      <w:r>
        <w:t xml:space="preserve">(b) Shall have charge, care or control of any property as agent, executor, administrator, trustee or guardian.</w:t>
      </w:r>
    </w:p>
    <w:p>
      <w:pPr>
        <w:pStyle w:val="FirstParagraph"/>
      </w:pPr>
      <w:r>
        <w:t xml:space="preserve">PARKING AREA AISLES — A portion of paved area consisting of lanes providing access to parking spaces.</w:t>
      </w:r>
    </w:p>
    <w:p>
      <w:pPr>
        <w:pStyle w:val="BodyText"/>
      </w:pPr>
      <w:r>
        <w:t xml:space="preserve">PARKING SPACE — A portion of paved area set aside for the parking of one vehicle.</w:t>
      </w:r>
    </w:p>
    <w:p>
      <w:pPr>
        <w:pStyle w:val="BodyText"/>
      </w:pPr>
      <w:r>
        <w:t xml:space="preserve">PERMITTED USE — A use by right, which is specifically authorized in a particular zoning district.</w:t>
      </w:r>
    </w:p>
    <w:p>
      <w:pPr>
        <w:pStyle w:val="BodyText"/>
      </w:pPr>
      <w:r>
        <w:t xml:space="preserve">PERSON — Includes "corporation," "partnership," "association," and "individual."</w:t>
      </w:r>
    </w:p>
    <w:p>
      <w:pPr>
        <w:pStyle w:val="BodyText"/>
      </w:pPr>
      <w:r>
        <w:t xml:space="preserve">PLANNING BOARD — Planning Board of the Town of Cumberland.</w:t>
      </w:r>
    </w:p>
    <w:p>
      <w:pPr>
        <w:pStyle w:val="BodyText"/>
      </w:pPr>
      <w:r>
        <w:t xml:space="preserve">PRE-APPLICATION CONFERENCE — A review meeting of a proposed development held between applicants and the department of planning and development and/or the Planning Board, before formal submission of an application for a permit or for development approval.</w:t>
      </w:r>
    </w:p>
    <w:p>
      <w:pPr>
        <w:pStyle w:val="BodyText"/>
      </w:pPr>
      <w:r>
        <w:t xml:space="preserve">PRINCIPAL BUILDING — In residential zones, the primary building on a lot or a building that houses the principal use.</w:t>
      </w:r>
    </w:p>
    <w:p>
      <w:pPr>
        <w:pStyle w:val="BodyText"/>
      </w:pPr>
      <w:r>
        <w:t xml:space="preserve">PRINCIPAL USE — The primary or predominant use of any lot. There may be more than one principal use in commercial, industrial and mixed-use developments.</w:t>
      </w:r>
    </w:p>
    <w:p>
      <w:pPr>
        <w:pStyle w:val="BodyText"/>
      </w:pPr>
      <w:r>
        <w:t xml:space="preserve">REAR YARD — A yard extending across the width of the lot, bounded by the required side yards, the rear of the building and the rear lot line.</w:t>
      </w:r>
    </w:p>
    <w:p>
      <w:pPr>
        <w:pStyle w:val="BodyText"/>
      </w:pPr>
      <w:r>
        <w:t xml:space="preserve">REMOVAL — Relocation of a structure on its site or to another site.</w:t>
      </w:r>
    </w:p>
    <w:p>
      <w:pPr>
        <w:pStyle w:val="BodyText"/>
      </w:pPr>
      <w:r>
        <w:t xml:space="preserve">REPAIR — A change meant only to remedy damage or deterioration of a structure or its appurtenances.</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SIDE YARD — A yard extending from the side of the building to the side lot line, the length of which is measured from the front lot line to the rear lot line.</w:t>
      </w:r>
    </w:p>
    <w:p>
      <w:pPr>
        <w:pStyle w:val="BodyText"/>
      </w:pPr>
      <w:r>
        <w:t xml:space="preserve">SIGN — Any object, device or structure, or part thereof, which is used to advertise, identify, display, direct or attract attention to any object, person, institution, organization, business, product, service, event or location by any means, including words, letters, figures, designs, symbols, fixtures, colors, illumination, or images.</w:t>
      </w:r>
    </w:p>
    <w:p>
      <w:pPr>
        <w:pStyle w:val="BodyText"/>
      </w:pPr>
      <w:r>
        <w:t xml:space="preserve">SITE PLAN — The development plan for one or more lots on which is shown the existing and/or the proposed conditions of the lot.</w:t>
      </w:r>
    </w:p>
    <w:p>
      <w:pPr>
        <w:pStyle w:val="BodyText"/>
      </w:pPr>
      <w:r>
        <w:t xml:space="preserve">SOLID FUEL OUTDOOR FURNACE — Any mechanical system designed to be located on the exterior of a building intended to provide heat and/or hot water to the building to which the furnace is attached through the burning of a solid fuel.</w:t>
      </w:r>
    </w:p>
    <w:p>
      <w:pPr>
        <w:pStyle w:val="BodyText"/>
      </w:pPr>
      <w:r>
        <w:t xml:space="preserve">SPECIAL USE — A regulated use which is permitted pursuant to a special use permit issued by the Zoning Board of Review (see Article 18). Formerly referred to as a special exception.</w:t>
      </w:r>
    </w:p>
    <w:p>
      <w:pPr>
        <w:pStyle w:val="BodyText"/>
      </w:pPr>
      <w:r>
        <w:t xml:space="preserve">STORY — That portion of a building included between the upper surface of any floor and the upper surface of the floor next above; also, any portion of a building used for human occupancy between the topmost floor and the roof. A basement may be counted as a story but a cellar shall not be so counted.</w:t>
      </w:r>
    </w:p>
    <w:p>
      <w:pPr>
        <w:pStyle w:val="BodyText"/>
      </w:pPr>
      <w:r>
        <w:t xml:space="preserve">STREET — A public right-of-way established by or maintained under public authority, a private way open for public uses, and a private way plotted or laid out for ultimate public use, whether or not constructed. A public or private thoroughfare used, or intended to be used, for passage or travel by motor vehicles.</w:t>
      </w:r>
    </w:p>
    <w:p>
      <w:pPr>
        <w:pStyle w:val="BodyText"/>
      </w:pPr>
      <w:r>
        <w:t xml:space="preserve">STREET LINE — The line dividing a lot from any street, except a limited or controlled access highway to which the lot has no access.</w:t>
      </w:r>
    </w:p>
    <w:p>
      <w:pPr>
        <w:pStyle w:val="BodyText"/>
      </w:pPr>
      <w:r>
        <w:t xml:space="preserve">STRUCTURE — A combination of materials to form a construction for use, occupancy, or ornamentation, whether installed on, above or below the surface of land or water, including, but not limited to, buildings, gazebos, towers, signs, billboards, outbuildings and swimming pools.</w:t>
      </w:r>
    </w:p>
    <w:p>
      <w:pPr>
        <w:pStyle w:val="BodyText"/>
      </w:pPr>
      <w:r>
        <w:t xml:space="preserve">SUBSTANDARD LOT OF RECORD — Any lot lawfully existing prior to December 13, 1962, or lawfully existing at the time of adoption or amendment of this appendix and not in conformance with the dimensional and/or area provisions of the ordinance or amendment (see Article 16).</w:t>
      </w:r>
    </w:p>
    <w:p>
      <w:pPr>
        <w:pStyle w:val="BodyText"/>
      </w:pPr>
      <w:r>
        <w:t xml:space="preserve">TOWN — The Town of Cumberland.</w:t>
      </w:r>
    </w:p>
    <w:p>
      <w:pPr>
        <w:pStyle w:val="BodyText"/>
      </w:pPr>
      <w:r>
        <w:t xml:space="preserve">TOWNHOUSE — Single-family dwelling units constructed in a series including two or more units sharing a common wall. A Townhouse may also be referred to as a single-family attached unit.</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appendix; an authorization for the construction or maintenance of a building or structure, or for the establishment or maintenance of a building or structure, or for the establishment or maintenance of a use of land, which is prohibited by this appendix (see Article 18).</w:t>
      </w:r>
    </w:p>
    <w:p>
      <w:pPr>
        <w:pStyle w:val="BodyText"/>
      </w:pPr>
      <w:r>
        <w:t xml:space="preserve">ZONING CERTIFICATE — A document signed by the zoning enforcement officer, which acknowledges that a use, structure, building or lot either complies with or is legally nonconforming to the provisions of this appendix, or is a duly authorized variance or special use permit, or otherwise interprets this appendix in accordance with Article 18 of this appendix.</w:t>
      </w:r>
    </w:p>
    <w:p>
      <w:pPr>
        <w:pStyle w:val="BodyText"/>
      </w:pPr>
      <w:r>
        <w:t xml:space="preserve">ZONING MAP — The Cumberland Zoning Plats which are a part of this appendix and which delineate the boundaries of all mapped zoning districts, specials districts, and overlay districts within the physical boundary of the Town as provided in § 3-4 of this appendix.</w:t>
      </w:r>
    </w:p>
    <w:p>
      <w:pPr>
        <w:pStyle w:val="BodyText"/>
      </w:pPr>
      <w:r>
        <w:t xml:space="preserve">ZONING DISTRICT — The basic unit in zoning to which a uniform set of regulations applies, or a uniform set of regulations for a specified use.</w:t>
      </w:r>
    </w:p>
    <w:bookmarkEnd w:id="27"/>
    <w:bookmarkStart w:id="28" w:name="zoning-districts"/>
    <w:p>
      <w:pPr>
        <w:pStyle w:val="Heading1"/>
      </w:pPr>
      <w:r>
        <w:t xml:space="preserve">§ 3. Zoning Districts</w:t>
      </w:r>
    </w:p>
    <w:bookmarkEnd w:id="28"/>
    <w:bookmarkStart w:id="29" w:name="establishment-of-zoning-districts"/>
    <w:p>
      <w:pPr>
        <w:pStyle w:val="Heading2"/>
      </w:pPr>
      <w:r>
        <w:t xml:space="preserve">§ 3-1. Establishment of zoning districts</w:t>
      </w:r>
    </w:p>
    <w:p>
      <w:pPr>
        <w:pStyle w:val="FirstParagraph"/>
      </w:pPr>
      <w:r>
        <w:rPr>
          <w:i/>
          <w:iCs/>
        </w:rPr>
        <w:t xml:space="preserve">[Ord. No. 08-31, 10-7-2009]</w:t>
      </w:r>
    </w:p>
    <w:p>
      <w:pPr>
        <w:pStyle w:val="BodyText"/>
      </w:pPr>
      <w:r>
        <w:t xml:space="preserve">For the purpose of this appendix, the Town of Cumberland is divided into zoning districts designated and described as follows:</w:t>
      </w:r>
    </w:p>
    <w:p>
      <w:pPr>
        <w:numPr>
          <w:ilvl w:val="0"/>
          <w:numId w:val="1010"/>
        </w:numPr>
      </w:pPr>
      <w:r>
        <w:t xml:space="preserve">(a) Open space.</w:t>
      </w:r>
    </w:p>
    <w:p>
      <w:pPr>
        <w:numPr>
          <w:ilvl w:val="0"/>
          <w:numId w:val="1000"/>
        </w:numPr>
      </w:pPr>
      <w:r>
        <w:t xml:space="preserve">OS: Open Space. This zoning district is intended for land left in its natural state, maintained for non-intensive and recreational uses, or active public or institutional uses as permitted in the use table.</w:t>
      </w:r>
    </w:p>
    <w:p>
      <w:pPr>
        <w:numPr>
          <w:ilvl w:val="0"/>
          <w:numId w:val="1010"/>
        </w:numPr>
      </w:pPr>
      <w:r>
        <w:t xml:space="preserve">(b) Agricultural.</w:t>
      </w:r>
    </w:p>
    <w:p>
      <w:pPr>
        <w:numPr>
          <w:ilvl w:val="0"/>
          <w:numId w:val="1000"/>
        </w:numPr>
      </w:pPr>
      <w:r>
        <w:t xml:space="preserve">A-1: Agricultural Low Density and One-Household District. This zoning district is intended for agricultural use and rural density single dwelling unit detached structures, located on lots with a minimum land area of five acres, which may be reduced in cluster subdivisions if agricultural uses are included in the resulting open space.</w:t>
      </w:r>
    </w:p>
    <w:p>
      <w:pPr>
        <w:numPr>
          <w:ilvl w:val="0"/>
          <w:numId w:val="1000"/>
        </w:numPr>
      </w:pPr>
      <w:r>
        <w:t xml:space="preserve">A-2: Agricultural Medium Density and One-Household District. This zoning district is intended for agricultural use and rural density single dwelling unit detached structures, located on lots with a minimum land area of 80,000 square feet.</w:t>
      </w:r>
    </w:p>
    <w:p>
      <w:pPr>
        <w:numPr>
          <w:ilvl w:val="0"/>
          <w:numId w:val="1010"/>
        </w:numPr>
      </w:pPr>
      <w:r>
        <w:t xml:space="preserve">(c) Residential.</w:t>
      </w:r>
    </w:p>
    <w:p>
      <w:pPr>
        <w:numPr>
          <w:ilvl w:val="0"/>
          <w:numId w:val="1000"/>
        </w:numPr>
      </w:pPr>
      <w:r>
        <w:t xml:space="preserve">R-1: One-Household Low Density District. This zoning district is intended for low density residential areas comprised of single dwelling unit structures located on lots with a minimum land area of 25,000 square feet for areas served by sewer and water; 40,000 square feet for areas, served by either sewer or water but not both; and 80,000 square feet for areas not served by neither both sewer and nor water.</w:t>
      </w:r>
    </w:p>
    <w:p>
      <w:pPr>
        <w:numPr>
          <w:ilvl w:val="0"/>
          <w:numId w:val="1000"/>
        </w:numPr>
      </w:pPr>
      <w:r>
        <w:t xml:space="preserve">R-2: Two-Household Medium Density District. This zoning district is intended for medium density residential areas comprised of structures containing single dwelling unit and two dwelling unit structures located on lots with a minimum land area of 10,000 square feet per unit plus 5,000 square feet for a second unit for areas served by sewer and water; and 30,000 square feet per unit plus 10,000 square feet for a second unit for areas served by either sewer or water but not both.</w:t>
      </w:r>
    </w:p>
    <w:p>
      <w:pPr>
        <w:numPr>
          <w:ilvl w:val="0"/>
          <w:numId w:val="1000"/>
        </w:numPr>
      </w:pPr>
      <w:r>
        <w:t xml:space="preserve">R-3: Multi-Household Dwelling District. This zoning district is intended for high density residential areas comprised of structures containing single dwelling unit, two dwelling unit and multiple dwelling unit structures located on lots with a minimum land area of 10,000 square feet minimum lot size for the first unit plus 5,000 square feet for each additional unit for areas served by sewer and water; and 30,000 square feet per unit plus 10,000 square feet for each additional unit for areas served by either sewer or water but not both.</w:t>
      </w:r>
    </w:p>
    <w:p>
      <w:pPr>
        <w:numPr>
          <w:ilvl w:val="0"/>
          <w:numId w:val="1010"/>
        </w:numPr>
      </w:pPr>
      <w:r>
        <w:t xml:space="preserve">(d) Commercial.</w:t>
      </w:r>
    </w:p>
    <w:p>
      <w:pPr>
        <w:numPr>
          <w:ilvl w:val="0"/>
          <w:numId w:val="1000"/>
        </w:numPr>
      </w:pPr>
      <w:r>
        <w:t xml:space="preserve">C-1: Limited Commercial District. This zoning district is intended for neighborhood commercial areas that primarily serve local neighborhood needs for convenience retail, services and professional office establishments.</w:t>
      </w:r>
    </w:p>
    <w:p>
      <w:pPr>
        <w:numPr>
          <w:ilvl w:val="0"/>
          <w:numId w:val="1000"/>
        </w:numPr>
      </w:pPr>
      <w:r>
        <w:t xml:space="preserve">C-2: General Commercial District. This zoning district is intended for commercial areas that serve Town-wide needs for retail, services and professional office establishments.</w:t>
      </w:r>
    </w:p>
    <w:p>
      <w:pPr>
        <w:numPr>
          <w:ilvl w:val="0"/>
          <w:numId w:val="1010"/>
        </w:numPr>
      </w:pPr>
      <w:r>
        <w:t xml:space="preserve">(e) Industrial.</w:t>
      </w:r>
    </w:p>
    <w:p>
      <w:pPr>
        <w:numPr>
          <w:ilvl w:val="0"/>
          <w:numId w:val="1000"/>
        </w:numPr>
      </w:pPr>
      <w:r>
        <w:t xml:space="preserve">I-1: Light Industrial District. This zoning district is intended for light industrial uses that accommodate a variety of manufacturing, assembly, storage of durable goods and related activities, provided that they do not pose toxic, explosive or environmental hazard in the Town, and office uses.</w:t>
      </w:r>
    </w:p>
    <w:p>
      <w:pPr>
        <w:numPr>
          <w:ilvl w:val="0"/>
          <w:numId w:val="1000"/>
        </w:numPr>
      </w:pPr>
      <w:r>
        <w:t xml:space="preserve">I-2: General Industrial District. This zoning district is intended to provide for areas for general industrial uses, including extractive industries.</w:t>
      </w:r>
    </w:p>
    <w:p>
      <w:pPr>
        <w:pStyle w:val="Compact"/>
        <w:numPr>
          <w:ilvl w:val="0"/>
          <w:numId w:val="1010"/>
        </w:numPr>
      </w:pPr>
      <w:r>
        <w:t xml:space="preserve">(f) Overlay Zoning Districts. These are districts that are superimposed on existing zoning district(s) or part of a district and which impose specified requirements in addition to those otherwise applicable and/or allow alternate uses.</w:t>
      </w:r>
    </w:p>
    <w:p>
      <w:pPr>
        <w:pStyle w:val="Compact"/>
        <w:numPr>
          <w:ilvl w:val="1"/>
          <w:numId w:val="1011"/>
        </w:numPr>
      </w:pPr>
      <w:r>
        <w:t xml:space="preserve">(1) Historic districts. These overlay zoning districts are designated in accordance with Title 45, Chapter 24.1, of the General Laws of Rhode Island, as amended, which declares the preservation of structures of historic or architectural value to be a public purpose and authorizes the creation of the Historic District Commission (HDC) for that purpose in the Town of Cumberland. The regulations set forth in § 601 Article 8 are intended to safeguard the heritage of the Town of Cumberland by establishing the following overlay districts:</w:t>
      </w:r>
    </w:p>
    <w:p>
      <w:pPr>
        <w:pStyle w:val="Compact"/>
        <w:numPr>
          <w:ilvl w:val="2"/>
          <w:numId w:val="1012"/>
        </w:numPr>
      </w:pPr>
      <w:r>
        <w:t xml:space="preserve">a. Ashton Historic Overlay District.</w:t>
      </w:r>
    </w:p>
    <w:p>
      <w:pPr>
        <w:pStyle w:val="Compact"/>
        <w:numPr>
          <w:ilvl w:val="2"/>
          <w:numId w:val="1012"/>
        </w:numPr>
      </w:pPr>
      <w:r>
        <w:t xml:space="preserve">b. Tower Hill Road Historic Overlay District.</w:t>
      </w:r>
    </w:p>
    <w:p>
      <w:pPr>
        <w:pStyle w:val="Compact"/>
        <w:numPr>
          <w:ilvl w:val="2"/>
          <w:numId w:val="1012"/>
        </w:numPr>
      </w:pPr>
      <w:r>
        <w:t xml:space="preserve">c. Old West Wrentham Road Historic Overlay District.</w:t>
      </w:r>
    </w:p>
    <w:p>
      <w:pPr>
        <w:pStyle w:val="Compact"/>
        <w:numPr>
          <w:ilvl w:val="2"/>
          <w:numId w:val="1012"/>
        </w:numPr>
      </w:pPr>
      <w:r>
        <w:t xml:space="preserve">d. Lonsdale Historic Overlay District.</w:t>
      </w:r>
    </w:p>
    <w:p>
      <w:pPr>
        <w:pStyle w:val="Compact"/>
        <w:numPr>
          <w:ilvl w:val="2"/>
          <w:numId w:val="1012"/>
        </w:numPr>
      </w:pPr>
      <w:r>
        <w:t xml:space="preserve">e. Upper Scott Road Historic Overlay District.</w:t>
      </w:r>
    </w:p>
    <w:p>
      <w:pPr>
        <w:pStyle w:val="Compact"/>
        <w:numPr>
          <w:ilvl w:val="2"/>
          <w:numId w:val="1012"/>
        </w:numPr>
      </w:pPr>
      <w:r>
        <w:t xml:space="preserve">f. Diamond Hill Road Historic Overlay District.</w:t>
      </w:r>
    </w:p>
    <w:p>
      <w:pPr>
        <w:pStyle w:val="Compact"/>
        <w:numPr>
          <w:ilvl w:val="2"/>
          <w:numId w:val="1012"/>
        </w:numPr>
      </w:pPr>
      <w:r>
        <w:t xml:space="preserve">g. Town Hall Historic Overlay District.</w:t>
      </w:r>
    </w:p>
    <w:p>
      <w:pPr>
        <w:pStyle w:val="Compact"/>
        <w:numPr>
          <w:ilvl w:val="0"/>
          <w:numId w:val="1010"/>
        </w:numPr>
      </w:pPr>
      <w:r>
        <w:t xml:space="preserve">(g) Special districts. These are districts that are established by amendment to the official zoning map in order to allow specific developments on a given parcel of land that would otherwise not be permitted in the district(s) in which the subject parcel is located. Special districts must meet the criteria and standards as required in this appendix.</w:t>
      </w:r>
    </w:p>
    <w:p>
      <w:pPr>
        <w:pStyle w:val="Compact"/>
        <w:numPr>
          <w:ilvl w:val="1"/>
          <w:numId w:val="1013"/>
        </w:numPr>
      </w:pPr>
      <w:r>
        <w:t xml:space="preserve">(1) Mixed-use special district. This special district is designed to allow a mixture of residential, commercial, recreational and/or other uses as deemed appropriate by the Town Council, and developed according to a coordinated and cohesive plan. (See Article 9.)</w:t>
      </w:r>
    </w:p>
    <w:bookmarkEnd w:id="29"/>
    <w:bookmarkStart w:id="30" w:name="zone-group-classification"/>
    <w:p>
      <w:pPr>
        <w:pStyle w:val="Heading2"/>
      </w:pPr>
      <w:r>
        <w:t xml:space="preserve">§ 3-2. Zone group classification</w:t>
      </w:r>
    </w:p>
    <w:p>
      <w:pPr>
        <w:pStyle w:val="FirstParagraph"/>
      </w:pPr>
      <w:r>
        <w:rPr>
          <w:i/>
          <w:iCs/>
        </w:rPr>
        <w:t xml:space="preserve">[Ord. No. 08-31, 10-7-2009]</w:t>
      </w:r>
    </w:p>
    <w:p>
      <w:pPr>
        <w:pStyle w:val="BodyText"/>
      </w:pPr>
      <w:r>
        <w:t xml:space="preserve">Whenever the terms O zone, R zone, C zone, or I zone are used, they shall be deemed to refer to all zones containing the same letters in their names; e.g., R zones shall include R-1, R-2 and R-3 zones.</w:t>
      </w:r>
    </w:p>
    <w:bookmarkEnd w:id="30"/>
    <w:bookmarkStart w:id="31" w:name="zoning-district-boundaries"/>
    <w:p>
      <w:pPr>
        <w:pStyle w:val="Heading2"/>
      </w:pPr>
      <w:r>
        <w:t xml:space="preserve">§ 3-3. Zoning district boundaries</w:t>
      </w:r>
    </w:p>
    <w:p>
      <w:pPr>
        <w:pStyle w:val="FirstParagraph"/>
      </w:pPr>
      <w:r>
        <w:rPr>
          <w:i/>
          <w:iCs/>
        </w:rPr>
        <w:t xml:space="preserve">[Ord. No. 08-31, 10-7-2009]</w:t>
      </w:r>
    </w:p>
    <w:p>
      <w:pPr>
        <w:pStyle w:val="Compact"/>
        <w:numPr>
          <w:ilvl w:val="0"/>
          <w:numId w:val="1014"/>
        </w:numPr>
      </w:pPr>
      <w:r>
        <w:t xml:space="preserve">(a) Where uncertainty exists as to the boundaries of the zoning districts as shown on the official zoning map, the following rules shall apply:</w:t>
      </w:r>
    </w:p>
    <w:p>
      <w:pPr>
        <w:pStyle w:val="Compact"/>
        <w:numPr>
          <w:ilvl w:val="1"/>
          <w:numId w:val="1015"/>
        </w:numPr>
      </w:pPr>
      <w:r>
        <w:t xml:space="preserve">(1) Zone boundaries are generally intended to follow lot lines.</w:t>
      </w:r>
    </w:p>
    <w:p>
      <w:pPr>
        <w:pStyle w:val="Compact"/>
        <w:numPr>
          <w:ilvl w:val="1"/>
          <w:numId w:val="1015"/>
        </w:numPr>
      </w:pPr>
      <w:r>
        <w:t xml:space="preserve">(2) Zone boundaries, where indicated, are the centerlines of streets, parkways, waterways, or railroad rights-of-way.</w:t>
      </w:r>
    </w:p>
    <w:p>
      <w:pPr>
        <w:pStyle w:val="Compact"/>
        <w:numPr>
          <w:ilvl w:val="1"/>
          <w:numId w:val="1015"/>
        </w:numPr>
      </w:pPr>
      <w:r>
        <w:t xml:space="preserve">(3) Where the street layout on the ground varies from the layout as shown on the zoning map, the zoning enforcement officer shall interpret said map according to the reasonable intent of this appendix.</w:t>
      </w:r>
    </w:p>
    <w:p>
      <w:pPr>
        <w:pStyle w:val="Compact"/>
        <w:numPr>
          <w:ilvl w:val="0"/>
          <w:numId w:val="1014"/>
        </w:numPr>
      </w:pPr>
      <w:r>
        <w:t xml:space="preserve">(b) Where the zone boundary divides a lot so that more than 50% of the lot area is in a more restrictive zone, the provisions of this appendix relating to the more restrictive zone shall be extended to the entire lot.</w:t>
      </w:r>
    </w:p>
    <w:p>
      <w:pPr>
        <w:pStyle w:val="Compact"/>
        <w:numPr>
          <w:ilvl w:val="0"/>
          <w:numId w:val="1014"/>
        </w:numPr>
      </w:pPr>
      <w:r>
        <w:t xml:space="preserve">(c) Where the zone boundary divides a lot so that 50% or more of the lot area is in a less restrictive zone, the provisions of this appendix relating to the less restrictive zone shall be extended to the entire lot.</w:t>
      </w:r>
    </w:p>
    <w:bookmarkEnd w:id="31"/>
    <w:bookmarkStart w:id="32" w:name="official-zoning-map"/>
    <w:p>
      <w:pPr>
        <w:pStyle w:val="Heading2"/>
      </w:pPr>
      <w:r>
        <w:t xml:space="preserve">§ 3-4. Official Zoning Map</w:t>
      </w:r>
    </w:p>
    <w:p>
      <w:pPr>
        <w:pStyle w:val="FirstParagraph"/>
      </w:pPr>
      <w:r>
        <w:rPr>
          <w:i/>
          <w:iCs/>
        </w:rPr>
        <w:t xml:space="preserve">[Ord. No. 08-31, 10-7-2009]</w:t>
      </w:r>
    </w:p>
    <w:p>
      <w:pPr>
        <w:pStyle w:val="BodyText"/>
      </w:pPr>
      <w:r>
        <w:t xml:space="preserve">The "Cumberland Zoning Plats" shall constitute the official zoning map of the Town and is hereby adopted and made part of this appendix. The official zoning map shall consist of 68 plat maps in the office of the building inspection department dated June 29, 1994, and as amended, and shall depict all zoning districts, special districts and overlay zoning districts. The boundaries of the zoning districts described above are hereby established on a map entitled the "Town of Cumberland Zoning Map" filed at the office of the Town Clerk, with a true and accurate copy to be shown on the "Cumberland Zoning Plats" consisting of 68 plat maps maintained in the office of the Building Official, dated June 29, 1994, and as amended.</w:t>
      </w:r>
    </w:p>
    <w:bookmarkEnd w:id="32"/>
    <w:bookmarkStart w:id="33" w:name="use-regulations"/>
    <w:p>
      <w:pPr>
        <w:pStyle w:val="Heading1"/>
      </w:pPr>
      <w:r>
        <w:t xml:space="preserve">§ 4. Use Regulations</w:t>
      </w:r>
    </w:p>
    <w:bookmarkEnd w:id="33"/>
    <w:bookmarkStart w:id="34" w:name="compliance-with-regulations"/>
    <w:p>
      <w:pPr>
        <w:pStyle w:val="Heading2"/>
      </w:pPr>
      <w:r>
        <w:t xml:space="preserve">§ 4-1. Compliance with regulations</w:t>
      </w:r>
    </w:p>
    <w:p>
      <w:pPr>
        <w:pStyle w:val="FirstParagraph"/>
      </w:pPr>
      <w:r>
        <w:rPr>
          <w:i/>
          <w:iCs/>
        </w:rPr>
        <w:t xml:space="preserve">[Ord. No. 08-31, 10-7-2009]</w:t>
      </w:r>
    </w:p>
    <w:p>
      <w:pPr>
        <w:pStyle w:val="BodyText"/>
      </w:pPr>
      <w:r>
        <w:t xml:space="preserve">The regulations set by this appendix within each zoning district shall be minimum regulations and shall apply uniformly to each class or kind of structure or land. In addition, Article 5 contains dimensional regulations and Article 6 contains supplementary regulations, which apply to specific conditions, areas or uses.</w:t>
      </w:r>
    </w:p>
    <w:bookmarkEnd w:id="34"/>
    <w:bookmarkStart w:id="35" w:name="use-code"/>
    <w:p>
      <w:pPr>
        <w:pStyle w:val="Heading2"/>
      </w:pPr>
      <w:r>
        <w:t xml:space="preserve">§ 4-2. Use code</w:t>
      </w:r>
    </w:p>
    <w:p>
      <w:pPr>
        <w:pStyle w:val="FirstParagraph"/>
      </w:pPr>
      <w:r>
        <w:rPr>
          <w:i/>
          <w:iCs/>
        </w:rPr>
        <w:t xml:space="preserve">[Ord. No. 08-31, 10-7-2009]</w:t>
      </w:r>
    </w:p>
    <w:p>
      <w:pPr>
        <w:pStyle w:val="BodyText"/>
      </w:pPr>
      <w:r>
        <w:t xml:space="preserve">The Use Regulations in Table 1 are designed to regulate land uses in the various zoning districts in the Town. Each use group is identified by a use code number and is a separate use. The use code is a classification system designed to limit and aid in the interpretation of the use regulations. The code number in the use regulations corresponds to a more detailed listing of uses in Appendix A. The uses are listed by category, with individual code numbers which also correspond to a more detailed listing in Appendix A. Where a use is not specifically listed in Table 1, such use is a prohibited use in the Town of Cumberland. When a use code is ambiguous or subject to interpretation, the zoning enforcement officer shall, (pursuant to G.L. § 45-24-54) upon written request, provide written information to the requesting party as to the determination that the use is included within the appropriate use code number in Appendix A within 15 days of the written request. In the event that no response is provided within such time, or if the requesting party believes the zoning enforcement officer has made an error of law, the requesting party shall have the right to appeal to the zoning board of appeals for such determination.</w:t>
      </w:r>
    </w:p>
    <w:p>
      <w:pPr>
        <w:pStyle w:val="BodyText"/>
      </w:pPr>
      <w:r>
        <w:rPr>
          <w:i/>
          <w:iCs/>
        </w:rPr>
        <w:t xml:space="preserve">Editor's Note: Table 1 is included as an attachment to this chapter.</w:t>
      </w:r>
    </w:p>
    <w:p>
      <w:pPr>
        <w:pStyle w:val="BodyText"/>
      </w:pPr>
      <w:r>
        <w:rPr>
          <w:i/>
          <w:iCs/>
        </w:rPr>
        <w:t xml:space="preserve">Editor's Note: Appendix A is included as an attachment to this chapter.</w:t>
      </w:r>
    </w:p>
    <w:bookmarkEnd w:id="35"/>
    <w:bookmarkStart w:id="36" w:name="public-utilities-and-public-services"/>
    <w:p>
      <w:pPr>
        <w:pStyle w:val="Heading2"/>
      </w:pPr>
      <w:r>
        <w:t xml:space="preserve">§ 4-3. Public utilities and public services</w:t>
      </w:r>
    </w:p>
    <w:p>
      <w:pPr>
        <w:pStyle w:val="FirstParagraph"/>
      </w:pPr>
      <w:r>
        <w:rPr>
          <w:i/>
          <w:iCs/>
        </w:rPr>
        <w:t xml:space="preserve">[Ord. No. 08-31, 10-7-2009]</w:t>
      </w:r>
    </w:p>
    <w:p>
      <w:pPr>
        <w:pStyle w:val="BodyText"/>
      </w:pPr>
      <w:r>
        <w:t xml:space="preserve">The provisions of this appendix shall not be construed so as to limit or interfere with the construction, installation, operation and maintenance for public utility purposes of water and gas pipes, mains and conduits, electric light and electric power transmission and distribution lines, telephone lines, cable television lines, oil pipe lines, sewer mains, and incidental appurtenances and installations.</w:t>
      </w:r>
    </w:p>
    <w:bookmarkEnd w:id="36"/>
    <w:bookmarkStart w:id="37" w:name="use-regulations-1"/>
    <w:p>
      <w:pPr>
        <w:pStyle w:val="Heading2"/>
      </w:pPr>
      <w:r>
        <w:t xml:space="preserve">§ 4-4. Use regulations</w:t>
      </w:r>
    </w:p>
    <w:p>
      <w:pPr>
        <w:pStyle w:val="FirstParagraph"/>
      </w:pPr>
      <w:r>
        <w:rPr>
          <w:i/>
          <w:iCs/>
        </w:rPr>
        <w:t xml:space="preserve">[Ord. No. 08-31, 10-7-2009; Ord. No. 09-33, § 1, 1-6-2010; Ord. No. 13-01, § 1, 3-6-2013]</w:t>
      </w:r>
    </w:p>
    <w:p>
      <w:pPr>
        <w:pStyle w:val="BodyText"/>
      </w:pPr>
      <w:r>
        <w:t xml:space="preserve">Within the Use Table, uses permitted by right are denoted with a "Y" for Yes. Uses which are not permitted are denoted with an "N" for No. Uses permitted only as a special use under the provisions of Article 18 are denoted with an "S" for special use permit. Uses permitted in special development districts shall be according to the regulations governing such districts elsewhere in this appendix. Any number of uses may be located on a lot provided each use is permitted and all other requirements of this appendix, including limitations on the number of buildings on a lot (see § 6-2) are met.</w:t>
      </w:r>
    </w:p>
    <w:bookmarkEnd w:id="37"/>
    <w:bookmarkStart w:id="38" w:name="accessory-uses"/>
    <w:p>
      <w:pPr>
        <w:pStyle w:val="Heading2"/>
      </w:pPr>
      <w:r>
        <w:t xml:space="preserve">§ 4-5. Accessory uses</w:t>
      </w:r>
    </w:p>
    <w:p>
      <w:pPr>
        <w:pStyle w:val="FirstParagraph"/>
      </w:pPr>
      <w:r>
        <w:rPr>
          <w:i/>
          <w:iCs/>
        </w:rPr>
        <w:t xml:space="preserve">[Ord. No. 08-31, 10-7-2009]</w:t>
      </w:r>
    </w:p>
    <w:p>
      <w:pPr>
        <w:pStyle w:val="BodyText"/>
      </w:pPr>
      <w:r>
        <w:t xml:space="preserve">Accessory uses are uses which are clearly incidental to and customarily associated with the principal use and shall be operated and maintained under the same ownership and on the same lot as the principal use and shall include, but not necessarily be limited to, private garages, home occupations, swimming pools, and accessory parking. Accessory uses cannot exist without nor precede any principal use on a vacant lot. Accessory uses are subject to all the requirements of this appendix except as provided herein (see Article 6 for specific requirements).</w:t>
      </w:r>
    </w:p>
    <w:bookmarkEnd w:id="38"/>
    <w:bookmarkStart w:id="39" w:name="prohibited-uses"/>
    <w:p>
      <w:pPr>
        <w:pStyle w:val="Heading2"/>
      </w:pPr>
      <w:r>
        <w:t xml:space="preserve">§ 4-6. Prohibited uses</w:t>
      </w:r>
    </w:p>
    <w:p>
      <w:pPr>
        <w:pStyle w:val="FirstParagraph"/>
      </w:pPr>
      <w:r>
        <w:rPr>
          <w:i/>
          <w:iCs/>
        </w:rPr>
        <w:t xml:space="preserve">[Ord. No. 08-31, 10-7-2009; Ord. No. 11-02A, § 2, 8-17-2011; amended 12-6-2023 by Ord. No. 23-26]</w:t>
      </w:r>
    </w:p>
    <w:p>
      <w:pPr>
        <w:pStyle w:val="BodyText"/>
      </w:pPr>
      <w:r>
        <w:t xml:space="preserve">Any use which is not specifically listed as a permitted use, by right or conditionally by special use permit, in this article, is a prohibited use. For the purposes of greater specificity, however, the following uses are prohibited in the Town of Cumberland:</w:t>
      </w:r>
    </w:p>
    <w:p>
      <w:pPr>
        <w:pStyle w:val="Compact"/>
        <w:numPr>
          <w:ilvl w:val="0"/>
          <w:numId w:val="1016"/>
        </w:numPr>
      </w:pPr>
      <w:r>
        <w:t xml:space="preserve">(a) Acid manufacture including hydrochloric, nitric, picric or sulfuric acid;</w:t>
      </w:r>
    </w:p>
    <w:p>
      <w:pPr>
        <w:pStyle w:val="Compact"/>
        <w:numPr>
          <w:ilvl w:val="0"/>
          <w:numId w:val="1016"/>
        </w:numPr>
      </w:pPr>
      <w:r>
        <w:t xml:space="preserve">(b) Aircraft transportation;</w:t>
      </w:r>
    </w:p>
    <w:p>
      <w:pPr>
        <w:pStyle w:val="Compact"/>
        <w:numPr>
          <w:ilvl w:val="0"/>
          <w:numId w:val="1016"/>
        </w:numPr>
      </w:pPr>
      <w:r>
        <w:t xml:space="preserve">(c) Asbestos and asbestos product manufacturing, assembly or processing;</w:t>
      </w:r>
    </w:p>
    <w:p>
      <w:pPr>
        <w:pStyle w:val="Compact"/>
        <w:numPr>
          <w:ilvl w:val="0"/>
          <w:numId w:val="1016"/>
        </w:numPr>
      </w:pPr>
      <w:r>
        <w:t xml:space="preserve">(d) Bulk storage, petroleum/LNG storage;</w:t>
      </w:r>
    </w:p>
    <w:p>
      <w:pPr>
        <w:pStyle w:val="Compact"/>
        <w:numPr>
          <w:ilvl w:val="0"/>
          <w:numId w:val="1016"/>
        </w:numPr>
      </w:pPr>
      <w:r>
        <w:t xml:space="preserve">(e) Chlorine or other similar noxious or toxic gases;</w:t>
      </w:r>
    </w:p>
    <w:p>
      <w:pPr>
        <w:pStyle w:val="Compact"/>
        <w:numPr>
          <w:ilvl w:val="0"/>
          <w:numId w:val="1016"/>
        </w:numPr>
      </w:pPr>
      <w:r>
        <w:t xml:space="preserve">(f) Extraction of underground water resources for wholesale or retail purposes;</w:t>
      </w:r>
    </w:p>
    <w:p>
      <w:pPr>
        <w:pStyle w:val="Compact"/>
        <w:numPr>
          <w:ilvl w:val="0"/>
          <w:numId w:val="1016"/>
        </w:numPr>
      </w:pPr>
      <w:r>
        <w:t xml:space="preserve">(g) Glue manufacture;</w:t>
      </w:r>
    </w:p>
    <w:p>
      <w:pPr>
        <w:pStyle w:val="Compact"/>
        <w:numPr>
          <w:ilvl w:val="0"/>
          <w:numId w:val="1016"/>
        </w:numPr>
      </w:pPr>
      <w:r>
        <w:t xml:space="preserve">(h) Junkyard;</w:t>
      </w:r>
    </w:p>
    <w:p>
      <w:pPr>
        <w:pStyle w:val="Compact"/>
        <w:numPr>
          <w:ilvl w:val="0"/>
          <w:numId w:val="1016"/>
        </w:numPr>
      </w:pPr>
      <w:r>
        <w:t xml:space="preserve">(i) Landfill and/or solid waste transfer station;</w:t>
      </w:r>
    </w:p>
    <w:p>
      <w:pPr>
        <w:pStyle w:val="Compact"/>
        <w:numPr>
          <w:ilvl w:val="0"/>
          <w:numId w:val="1016"/>
        </w:numPr>
      </w:pPr>
      <w:r>
        <w:t xml:space="preserve">(j) Leather and fur tanning and finishing;</w:t>
      </w:r>
    </w:p>
    <w:p>
      <w:pPr>
        <w:pStyle w:val="Compact"/>
        <w:numPr>
          <w:ilvl w:val="0"/>
          <w:numId w:val="1016"/>
        </w:numPr>
      </w:pPr>
      <w:r>
        <w:t xml:space="preserve">(k) Mobile home park;</w:t>
      </w:r>
    </w:p>
    <w:p>
      <w:pPr>
        <w:pStyle w:val="Compact"/>
        <w:numPr>
          <w:ilvl w:val="0"/>
          <w:numId w:val="1016"/>
        </w:numPr>
      </w:pPr>
      <w:r>
        <w:t xml:space="preserve">(l) Motel;</w:t>
      </w:r>
    </w:p>
    <w:p>
      <w:pPr>
        <w:pStyle w:val="Compact"/>
        <w:numPr>
          <w:ilvl w:val="0"/>
          <w:numId w:val="1016"/>
        </w:numPr>
      </w:pPr>
      <w:r>
        <w:t xml:space="preserve">(m) Nuclear industries and explosives;</w:t>
      </w:r>
    </w:p>
    <w:p>
      <w:pPr>
        <w:pStyle w:val="Compact"/>
        <w:numPr>
          <w:ilvl w:val="0"/>
          <w:numId w:val="1016"/>
        </w:numPr>
      </w:pPr>
      <w:r>
        <w:t xml:space="preserve">(n) Outdoor advertising for off-site uses, billboards;</w:t>
      </w:r>
    </w:p>
    <w:p>
      <w:pPr>
        <w:pStyle w:val="Compact"/>
        <w:numPr>
          <w:ilvl w:val="0"/>
          <w:numId w:val="1016"/>
        </w:numPr>
      </w:pPr>
      <w:r>
        <w:t xml:space="preserve">(o) Petroleum products and related industries;</w:t>
      </w:r>
    </w:p>
    <w:p>
      <w:pPr>
        <w:pStyle w:val="Compact"/>
        <w:numPr>
          <w:ilvl w:val="0"/>
          <w:numId w:val="1016"/>
        </w:numPr>
      </w:pPr>
      <w:r>
        <w:t xml:space="preserve">(p) Petroleum refining;</w:t>
      </w:r>
    </w:p>
    <w:p>
      <w:pPr>
        <w:pStyle w:val="Compact"/>
        <w:numPr>
          <w:ilvl w:val="0"/>
          <w:numId w:val="1016"/>
        </w:numPr>
      </w:pPr>
      <w:r>
        <w:t xml:space="preserve">(q) Power plant, incinerator and waste facility;</w:t>
      </w:r>
    </w:p>
    <w:p>
      <w:pPr>
        <w:pStyle w:val="Compact"/>
        <w:numPr>
          <w:ilvl w:val="0"/>
          <w:numId w:val="1016"/>
        </w:numPr>
      </w:pPr>
      <w:r>
        <w:t xml:space="preserve">(r) Prison or correctional institution;</w:t>
      </w:r>
    </w:p>
    <w:p>
      <w:pPr>
        <w:pStyle w:val="Compact"/>
        <w:numPr>
          <w:ilvl w:val="0"/>
          <w:numId w:val="1016"/>
        </w:numPr>
      </w:pPr>
      <w:r>
        <w:t xml:space="preserve">(s) Pulp mills and paper mills;</w:t>
      </w:r>
    </w:p>
    <w:p>
      <w:pPr>
        <w:pStyle w:val="Compact"/>
        <w:numPr>
          <w:ilvl w:val="0"/>
          <w:numId w:val="1016"/>
        </w:numPr>
      </w:pPr>
      <w:r>
        <w:t xml:space="preserve">(t) Rendering or refining of fats or oils;</w:t>
      </w:r>
    </w:p>
    <w:p>
      <w:pPr>
        <w:pStyle w:val="Compact"/>
        <w:numPr>
          <w:ilvl w:val="0"/>
          <w:numId w:val="1016"/>
        </w:numPr>
      </w:pPr>
      <w:r>
        <w:t xml:space="preserve">(u) Self-storage facility;</w:t>
      </w:r>
    </w:p>
    <w:p>
      <w:pPr>
        <w:pStyle w:val="Compact"/>
        <w:numPr>
          <w:ilvl w:val="0"/>
          <w:numId w:val="1016"/>
        </w:numPr>
      </w:pPr>
      <w:r>
        <w:t xml:space="preserve">(v) Slaughter of animals, not including fowl;</w:t>
      </w:r>
    </w:p>
    <w:p>
      <w:pPr>
        <w:pStyle w:val="Compact"/>
        <w:numPr>
          <w:ilvl w:val="0"/>
          <w:numId w:val="1016"/>
        </w:numPr>
      </w:pPr>
      <w:r>
        <w:t xml:space="preserve">(w) Solid fuel outdoor furnace;</w:t>
      </w:r>
    </w:p>
    <w:p>
      <w:pPr>
        <w:pStyle w:val="Compact"/>
        <w:numPr>
          <w:ilvl w:val="0"/>
          <w:numId w:val="1016"/>
        </w:numPr>
      </w:pPr>
      <w:r>
        <w:t xml:space="preserve">(x) Stockyard or feeding pen;</w:t>
      </w:r>
    </w:p>
    <w:p>
      <w:pPr>
        <w:pStyle w:val="Compact"/>
        <w:numPr>
          <w:ilvl w:val="0"/>
          <w:numId w:val="1016"/>
        </w:numPr>
      </w:pPr>
      <w:r>
        <w:t xml:space="preserve">(y) Storage and/or processing of medical wastes (as a principal use);</w:t>
      </w:r>
    </w:p>
    <w:p>
      <w:pPr>
        <w:pStyle w:val="Compact"/>
        <w:numPr>
          <w:ilvl w:val="0"/>
          <w:numId w:val="1016"/>
        </w:numPr>
      </w:pPr>
      <w:r>
        <w:t xml:space="preserve">(z) Tobacco processing;</w:t>
      </w:r>
    </w:p>
    <w:p>
      <w:pPr>
        <w:pStyle w:val="Compact"/>
        <w:numPr>
          <w:ilvl w:val="0"/>
          <w:numId w:val="1016"/>
        </w:numPr>
      </w:pPr>
      <w:r>
        <w:t xml:space="preserve">(aa) Wind energy system.</w:t>
      </w:r>
    </w:p>
    <w:p>
      <w:pPr>
        <w:pStyle w:val="FirstParagraph"/>
      </w:pPr>
      <w:r>
        <w:rPr>
          <w:i/>
          <w:iCs/>
        </w:rPr>
        <w:t xml:space="preserve">Editor’s Note: For definitions of the prohibited uses, see Appendix A, which is included as an attachment to this chapter.</w:t>
      </w:r>
    </w:p>
    <w:bookmarkEnd w:id="39"/>
    <w:bookmarkStart w:id="40" w:name="permitted-uses"/>
    <w:p>
      <w:pPr>
        <w:pStyle w:val="Heading2"/>
      </w:pPr>
      <w:r>
        <w:t xml:space="preserve">§ 4-7. Permitted uses</w:t>
      </w:r>
    </w:p>
    <w:p>
      <w:pPr>
        <w:pStyle w:val="FirstParagraph"/>
      </w:pPr>
      <w:r>
        <w:rPr>
          <w:i/>
          <w:iCs/>
        </w:rPr>
        <w:t xml:space="preserve">[Added 12-6-2023 by Ord. No. 23-26]</w:t>
      </w:r>
    </w:p>
    <w:p>
      <w:pPr>
        <w:pStyle w:val="Compact"/>
        <w:numPr>
          <w:ilvl w:val="0"/>
          <w:numId w:val="1017"/>
        </w:numPr>
      </w:pPr>
      <w:r>
        <w:t xml:space="preserve">(a) A proposed land use that is not specifically listed may be presented by the property owner to the Zoning Board of Review for an evaluation and determination of whether the proposed use is of a similar type, character, and intensity as a listed permitted use. Upon such determination, the proposed use may be considered to be a permitted use or a use requiring a special use permit.</w:t>
      </w:r>
    </w:p>
    <w:p>
      <w:pPr>
        <w:pStyle w:val="Compact"/>
        <w:numPr>
          <w:ilvl w:val="0"/>
          <w:numId w:val="1017"/>
        </w:numPr>
      </w:pPr>
      <w:r>
        <w:t xml:space="preserve">(b) Notwithstanding any other provision of this appendix, the following uses are permitted uses within all residential zoning use districts of a municipality and all industrial and commercial zoning use districts except where residential use is prohibited for public health or safety reasons:</w:t>
      </w:r>
    </w:p>
    <w:p>
      <w:pPr>
        <w:pStyle w:val="Compact"/>
        <w:numPr>
          <w:ilvl w:val="1"/>
          <w:numId w:val="1018"/>
        </w:numPr>
      </w:pPr>
      <w:r>
        <w:t xml:space="preserve">(1) Households;</w:t>
      </w:r>
    </w:p>
    <w:p>
      <w:pPr>
        <w:pStyle w:val="Compact"/>
        <w:numPr>
          <w:ilvl w:val="1"/>
          <w:numId w:val="1018"/>
        </w:numPr>
      </w:pPr>
      <w:r>
        <w:t xml:space="preserve">(2) Community residences; and</w:t>
      </w:r>
    </w:p>
    <w:p>
      <w:pPr>
        <w:pStyle w:val="Compact"/>
        <w:numPr>
          <w:ilvl w:val="1"/>
          <w:numId w:val="1018"/>
        </w:numPr>
      </w:pPr>
      <w:r>
        <w:t xml:space="preserve">(3) Family daycare homes.</w:t>
      </w:r>
    </w:p>
    <w:p>
      <w:pPr>
        <w:pStyle w:val="Compact"/>
        <w:numPr>
          <w:ilvl w:val="0"/>
          <w:numId w:val="1017"/>
        </w:numPr>
      </w:pPr>
      <w:r>
        <w:t xml:space="preserve">(c) Any time a building or other structure used for residential purposes, or a portion of a building containing residential units, is rendered uninhabitable by virtue of a casualty such as fire or flood, the owner of the property is allowed to park, temporarily, mobile and manufactured home, or homes, as the need may be, elsewhere upon the land, for use and occupancy of the former occupants for a period of up to 12 months, or until the building or structure is rehabilitated and otherwise made fit for occupancy. The property owner, or a properly designated agent of the owner, is only allowed to cause the mobile and manufactured home, or homes, to remain temporarily upon the land by making timely application to the local building official for the purposes of obtaining the necessary permits to repair or rebuild the structure.</w:t>
      </w:r>
    </w:p>
    <w:p>
      <w:pPr>
        <w:pStyle w:val="Compact"/>
        <w:numPr>
          <w:ilvl w:val="0"/>
          <w:numId w:val="1017"/>
        </w:numPr>
      </w:pPr>
      <w:r>
        <w:t xml:space="preserve">(d) Notwithstanding any other provision of this appendix, appropriate access for people with disabilities to residential structures is allowed as a reasonable accommodation for any person(s) residing, or intending to reside, in the residential structure.</w:t>
      </w:r>
    </w:p>
    <w:p>
      <w:pPr>
        <w:pStyle w:val="Compact"/>
        <w:numPr>
          <w:ilvl w:val="0"/>
          <w:numId w:val="1017"/>
        </w:numPr>
      </w:pPr>
      <w:r>
        <w:t xml:space="preserve">(e) Notwithstanding any other provision of this appendix, an accessory dwelling unit in an owner-occupied residence that complies with R.I.G.L. AAA 45-24-31 and 45-24-73 shall be permitted as a reasonable accommodation for family members with disabilities or who are 62 years of age or older, or to accommodate other family members.</w:t>
      </w:r>
    </w:p>
    <w:p>
      <w:pPr>
        <w:pStyle w:val="Compact"/>
        <w:numPr>
          <w:ilvl w:val="0"/>
          <w:numId w:val="1017"/>
        </w:numPr>
      </w:pPr>
      <w:r>
        <w:t xml:space="preserve">(f) When used in this section the terms "people with disabilities" or "member, or members, with disabilities" means a person(s) who has a physical or mental impairment that substantially limits one or more major life activities, as defined in R.I.G.L. AA 42-87-1(7).</w:t>
      </w:r>
    </w:p>
    <w:p>
      <w:pPr>
        <w:pStyle w:val="Compact"/>
        <w:numPr>
          <w:ilvl w:val="0"/>
          <w:numId w:val="1017"/>
        </w:numPr>
      </w:pPr>
      <w:r>
        <w:t xml:space="preserve">(g) Notwithstanding any other provisions of this appendix, plant agriculture is a permitted use within all zoning districts of a municipality, including all industrial and commercial zoning districts, except where prohibited for public health or safety reasons or the protection of wildlife habitat.</w:t>
      </w:r>
    </w:p>
    <w:p>
      <w:pPr>
        <w:pStyle w:val="Compact"/>
        <w:numPr>
          <w:ilvl w:val="0"/>
          <w:numId w:val="1017"/>
        </w:numPr>
      </w:pPr>
      <w:r>
        <w:t xml:space="preserve">(h) Adaptive reuse. Notwithstanding any other provisions of this appendix adaptive reuse for the conversion of any commercial building, including offices, schools, religious facilities, medical buildings, and malls into residential units or mixed-use developments is a permitted use, under the following criteria:</w:t>
      </w:r>
    </w:p>
    <w:p>
      <w:pPr>
        <w:pStyle w:val="Compact"/>
        <w:numPr>
          <w:ilvl w:val="1"/>
          <w:numId w:val="1019"/>
        </w:numPr>
      </w:pPr>
      <w:r>
        <w:t xml:space="preserve">(1) Eligibility.</w:t>
      </w:r>
    </w:p>
    <w:p>
      <w:pPr>
        <w:pStyle w:val="Compact"/>
        <w:numPr>
          <w:ilvl w:val="2"/>
          <w:numId w:val="1020"/>
        </w:numPr>
      </w:pPr>
      <w:r>
        <w:t xml:space="preserve">a. Adaptive reuse development must include at least 50% of existing gross floor area developed into residential units.</w:t>
      </w:r>
    </w:p>
    <w:p>
      <w:pPr>
        <w:pStyle w:val="Compact"/>
        <w:numPr>
          <w:ilvl w:val="2"/>
          <w:numId w:val="1020"/>
        </w:numPr>
      </w:pPr>
      <w:r>
        <w:t xml:space="preserve">b. There are no environmental land use restrictions recorded on the property preventing the conversion to residential use by RIDEM or the U.S. EPA.</w:t>
      </w:r>
    </w:p>
    <w:p>
      <w:pPr>
        <w:pStyle w:val="Compact"/>
        <w:numPr>
          <w:ilvl w:val="1"/>
          <w:numId w:val="1019"/>
        </w:numPr>
      </w:pPr>
      <w:r>
        <w:t xml:space="preserve">(2) Density calculations.</w:t>
      </w:r>
    </w:p>
    <w:p>
      <w:pPr>
        <w:pStyle w:val="Compact"/>
        <w:numPr>
          <w:ilvl w:val="2"/>
          <w:numId w:val="1021"/>
        </w:numPr>
      </w:pPr>
      <w:r>
        <w:t xml:space="preserve">a. For projects that meet the following criteria, the residential density shall be 15 dwelling units per acre:</w:t>
      </w:r>
    </w:p>
    <w:p>
      <w:pPr>
        <w:pStyle w:val="Compact"/>
        <w:numPr>
          <w:ilvl w:val="3"/>
          <w:numId w:val="1022"/>
        </w:numPr>
      </w:pPr>
      <w:r>
        <w:t xml:space="preserve">1. Where the project is limited to the existing footprint, except that the footprint is allowed to be expanded to accommodate upgrades related to the building fire code, and utility requirements.</w:t>
      </w:r>
    </w:p>
    <w:p>
      <w:pPr>
        <w:pStyle w:val="Compact"/>
        <w:numPr>
          <w:ilvl w:val="3"/>
          <w:numId w:val="1022"/>
        </w:numPr>
      </w:pPr>
      <w:r>
        <w:t xml:space="preserve">2. The development includes at least 20% low- and moderate-income housing.</w:t>
      </w:r>
    </w:p>
    <w:p>
      <w:pPr>
        <w:pStyle w:val="Compact"/>
        <w:numPr>
          <w:ilvl w:val="3"/>
          <w:numId w:val="1022"/>
        </w:numPr>
      </w:pPr>
      <w:r>
        <w:t xml:space="preserve">3.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2"/>
          <w:numId w:val="1021"/>
        </w:numPr>
      </w:pPr>
      <w:r>
        <w:t xml:space="preserve">b.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2"/>
          <w:numId w:val="1021"/>
        </w:numPr>
      </w:pPr>
      <w:r>
        <w:t xml:space="preserve">c. The density proposed for any adaptive reuse project shall be determined to meet all public health and safety standards.</w:t>
      </w:r>
    </w:p>
    <w:p>
      <w:pPr>
        <w:pStyle w:val="Compact"/>
        <w:numPr>
          <w:ilvl w:val="1"/>
          <w:numId w:val="1019"/>
        </w:numPr>
      </w:pPr>
      <w:r>
        <w:t xml:space="preserve">(3) Dimensional requirements.</w:t>
      </w:r>
    </w:p>
    <w:p>
      <w:pPr>
        <w:pStyle w:val="Compact"/>
        <w:numPr>
          <w:ilvl w:val="2"/>
          <w:numId w:val="1023"/>
        </w:numPr>
      </w:pPr>
      <w:r>
        <w:t xml:space="preserve">a. Notwithstanding any other provisions of this appendix, existing building setbacks shall remain and are considered legal nonconforming.</w:t>
      </w:r>
    </w:p>
    <w:p>
      <w:pPr>
        <w:pStyle w:val="Compact"/>
        <w:numPr>
          <w:ilvl w:val="2"/>
          <w:numId w:val="1023"/>
        </w:numPr>
      </w:pPr>
      <w:r>
        <w:t xml:space="preserve">b. No additional encroachments shall be permitted into any nonconforming setback unless relief is granted by the permitting authority.</w:t>
      </w:r>
    </w:p>
    <w:p>
      <w:pPr>
        <w:pStyle w:val="Compact"/>
        <w:numPr>
          <w:ilvl w:val="2"/>
          <w:numId w:val="1023"/>
        </w:numPr>
      </w:pPr>
      <w:r>
        <w:t xml:space="preserve">c. Notwithstanding other provisions of this appendix, the height of the structure shall be considered legal nonconforming if it exceeds the maximum height of the zoning district in which the structure is located.</w:t>
      </w:r>
    </w:p>
    <w:p>
      <w:pPr>
        <w:pStyle w:val="Compact"/>
        <w:numPr>
          <w:ilvl w:val="3"/>
          <w:numId w:val="1024"/>
        </w:numPr>
      </w:pPr>
      <w:r>
        <w:t xml:space="preserve">1. Any rooftop construction necessary for building or fire code compliance, or utility infrastructure is included in the height exemption.</w:t>
      </w:r>
    </w:p>
    <w:p>
      <w:pPr>
        <w:pStyle w:val="Compact"/>
        <w:numPr>
          <w:ilvl w:val="1"/>
          <w:numId w:val="1019"/>
        </w:numPr>
      </w:pPr>
      <w:r>
        <w:t xml:space="preserve">(4) Parking requirements.</w:t>
      </w:r>
    </w:p>
    <w:p>
      <w:pPr>
        <w:pStyle w:val="Compact"/>
        <w:numPr>
          <w:ilvl w:val="2"/>
          <w:numId w:val="1025"/>
        </w:numPr>
      </w:pPr>
      <w:r>
        <w:t xml:space="preserve">a. Adaptive reuse developments shall provide one parking space per dwelling unit. The applicant may propose additional parking in excess of one space per dwelling unit.</w:t>
      </w:r>
    </w:p>
    <w:p>
      <w:pPr>
        <w:pStyle w:val="Compact"/>
        <w:numPr>
          <w:ilvl w:val="2"/>
          <w:numId w:val="1025"/>
        </w:numPr>
      </w:pPr>
      <w:r>
        <w:t xml:space="preserve">b. The parking requirements and design standards in Article 14 shall apply to all uses proposed as part of the project unless otherwise approved by the applicable authority. The number of parking spaces required shall apply for all uses other than residential.</w:t>
      </w:r>
    </w:p>
    <w:p>
      <w:pPr>
        <w:pStyle w:val="Compact"/>
        <w:numPr>
          <w:ilvl w:val="1"/>
          <w:numId w:val="1019"/>
        </w:numPr>
      </w:pPr>
      <w:r>
        <w:t xml:space="preserve">(5) Allowed uses within an adaptive reuse project.</w:t>
      </w:r>
    </w:p>
    <w:p>
      <w:pPr>
        <w:pStyle w:val="Compact"/>
        <w:numPr>
          <w:ilvl w:val="2"/>
          <w:numId w:val="1026"/>
        </w:numPr>
      </w:pPr>
      <w:r>
        <w:t xml:space="preserve">a. Residential dwelling units are a permitted use in an adaptive reuse project regardless of the zoning district in which the structure is located, in accordance with the provisions of this section.</w:t>
      </w:r>
    </w:p>
    <w:p>
      <w:pPr>
        <w:pStyle w:val="Compact"/>
        <w:numPr>
          <w:ilvl w:val="2"/>
          <w:numId w:val="1026"/>
        </w:numPr>
      </w:pPr>
      <w:r>
        <w:t xml:space="preserve">b. Any nonresidential uses proposed as part of an adaptive reuse project must comply with the provisions of these regulations.</w:t>
      </w:r>
    </w:p>
    <w:p>
      <w:pPr>
        <w:pStyle w:val="Compact"/>
        <w:numPr>
          <w:ilvl w:val="1"/>
          <w:numId w:val="1019"/>
        </w:numPr>
      </w:pPr>
      <w:r>
        <w:t xml:space="preserve">(6) Development and design standards. Site design shall be in accordance with the Sections 6, 7, and 8, as applicable, of Appendix A, Land Development and Subdivision Regulations.</w:t>
      </w:r>
    </w:p>
    <w:p>
      <w:pPr>
        <w:pStyle w:val="Compact"/>
        <w:numPr>
          <w:ilvl w:val="1"/>
          <w:numId w:val="1019"/>
        </w:numPr>
      </w:pPr>
      <w:r>
        <w:t xml:space="preserve">(7) Procedural requirements.</w:t>
      </w:r>
    </w:p>
    <w:p>
      <w:pPr>
        <w:pStyle w:val="Compact"/>
        <w:numPr>
          <w:ilvl w:val="2"/>
          <w:numId w:val="1027"/>
        </w:numPr>
      </w:pPr>
      <w:r>
        <w:t xml:space="preserve">a. Adaptive reuse project shall be subject to the procedural requirements of these regulations and undergo either development plan review, or minor or major land development as determined therein.</w:t>
      </w:r>
    </w:p>
    <w:p>
      <w:pPr>
        <w:pStyle w:val="Compact"/>
        <w:numPr>
          <w:ilvl w:val="2"/>
          <w:numId w:val="1027"/>
        </w:numPr>
      </w:pPr>
      <w:r>
        <w:t xml:space="preserve">b. In addition to the checklist requirements for the applicable review process, the applicant shall provide the following information:</w:t>
      </w:r>
    </w:p>
    <w:p>
      <w:pPr>
        <w:pStyle w:val="Compact"/>
        <w:numPr>
          <w:ilvl w:val="3"/>
          <w:numId w:val="1028"/>
        </w:numPr>
      </w:pPr>
      <w:r>
        <w:t xml:space="preserve">1. The proposed residential density and the square footage of nonresidential uses. Residential density under the provisions of Subsection (h)(2) shall be determined with the submission of a detailed floor plan as described in subsection (h)(7)2 of this Section to the Zoning/Building Official for their review and approval.</w:t>
      </w:r>
    </w:p>
    <w:p>
      <w:pPr>
        <w:pStyle w:val="Compact"/>
        <w:numPr>
          <w:ilvl w:val="3"/>
          <w:numId w:val="1028"/>
        </w:numPr>
      </w:pPr>
      <w:r>
        <w:t xml:space="preserve">2. A floor plan to scale for each building indicating, as applicable, the use of floor space, number of units, number of bedrooms, and the square footage of each unit.</w:t>
      </w:r>
    </w:p>
    <w:p>
      <w:pPr>
        <w:pStyle w:val="Compact"/>
        <w:numPr>
          <w:ilvl w:val="1"/>
          <w:numId w:val="1019"/>
        </w:numPr>
      </w:pPr>
      <w:r>
        <w:t xml:space="preserve">(8) Specific and objective criteria. The specific and objective criteria for adaptive reuse projects are found in Sections 6, 7 and 8 of Appendix A, Land Development and Subdivision Regulations.</w:t>
      </w:r>
    </w:p>
    <w:bookmarkEnd w:id="40"/>
    <w:bookmarkStart w:id="41" w:name="reserved"/>
    <w:p>
      <w:pPr>
        <w:pStyle w:val="Heading2"/>
      </w:pPr>
      <w:r>
        <w:t xml:space="preserve">§ 4-8. (Reserved)</w:t>
      </w:r>
    </w:p>
    <w:p>
      <w:pPr>
        <w:pStyle w:val="FirstParagraph"/>
      </w:pPr>
      <w:r>
        <w:rPr>
          <w:i/>
          <w:iCs/>
        </w:rPr>
        <w:t xml:space="preserve">Editor's Note: Former § 4-8, Drive-through service, adopted by Ord. No. 08-31, 10-7-2009, was repealed 12-6-2023 by Ord. No. 23-26. See now § 18-3(j), Requirements for specific categories of special use.</w:t>
      </w:r>
    </w:p>
    <w:bookmarkEnd w:id="41"/>
    <w:bookmarkStart w:id="42" w:name="dimensional-regulations"/>
    <w:p>
      <w:pPr>
        <w:pStyle w:val="Heading1"/>
      </w:pPr>
      <w:r>
        <w:t xml:space="preserve">§ 5. Dimensional Regulations</w:t>
      </w:r>
    </w:p>
    <w:bookmarkEnd w:id="42"/>
    <w:bookmarkStart w:id="43" w:name="general"/>
    <w:p>
      <w:pPr>
        <w:pStyle w:val="Heading2"/>
      </w:pPr>
      <w:r>
        <w:t xml:space="preserve">§ 5-1. General</w:t>
      </w:r>
    </w:p>
    <w:p>
      <w:pPr>
        <w:pStyle w:val="FirstParagraph"/>
      </w:pPr>
      <w:r>
        <w:rPr>
          <w:i/>
          <w:iCs/>
        </w:rPr>
        <w:t xml:space="preserve">[Ord. No. 08-31, 10-7-2009]</w:t>
      </w:r>
    </w:p>
    <w:p>
      <w:pPr>
        <w:pStyle w:val="BodyText"/>
      </w:pPr>
      <w:r>
        <w:t xml:space="preserve">Dimensional regulations to be applied to development within each zoning district are contained in the following tables. Lot area and other dimensional requirements are a function of the availability of water facilities and public sewer. Front yards may also vary according to the prevalent development patterns in those areas of Town which are considered to be principally built (see § 5-4).</w:t>
      </w:r>
    </w:p>
    <w:bookmarkEnd w:id="43"/>
    <w:bookmarkStart w:id="44" w:name="agricultural-and-residential-zones"/>
    <w:p>
      <w:pPr>
        <w:pStyle w:val="Heading2"/>
      </w:pPr>
      <w:r>
        <w:t xml:space="preserve">§ 5-2. Agricultural and residential zones</w:t>
      </w:r>
    </w:p>
    <w:p>
      <w:pPr>
        <w:pStyle w:val="FirstParagraph"/>
      </w:pPr>
      <w:r>
        <w:rPr>
          <w:i/>
          <w:iCs/>
        </w:rPr>
        <w:t xml:space="preserve">[Ord. No. 08-31, 10-7-2009]</w:t>
      </w:r>
    </w:p>
    <w:p>
      <w:pPr>
        <w:pStyle w:val="Compact"/>
        <w:numPr>
          <w:ilvl w:val="0"/>
          <w:numId w:val="1029"/>
        </w:numPr>
      </w:pPr>
      <w:r>
        <w:t xml:space="preserve">(a) Dimensional regulations for areas without water facilities or public sewers.</w:t>
      </w:r>
      <w:r>
        <w:rPr>
          <w:vertAlign w:val="superscript"/>
        </w:rPr>
        <w:t xml:space="preserve">1</w:t>
      </w:r>
    </w:p>
    <w:tbl>
      <w:tblPr>
        <w:tblStyle w:val="Table"/>
        <w:tblW w:type="pct" w:w="5000"/>
        <w:jc w:val="left"/>
        <w:tblInd w:w="720" w:type="dxa"/>
        <w:tblLayout w:type="fixed"/>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pPr>
          </w:p>
        </w:tc>
        <w:tc>
          <w:tcPr/>
          <w:p>
            <w:pPr>
              <w:pStyle w:val="Compact"/>
              <w:jc w:val="left"/>
            </w:pPr>
            <w:r>
              <w:rPr>
                <w:b/>
                <w:bCs/>
              </w:rPr>
              <w:t xml:space="preserve">A-1</w:t>
            </w:r>
          </w:p>
        </w:tc>
        <w:tc>
          <w:tcPr/>
          <w:p>
            <w:pPr>
              <w:pStyle w:val="Compact"/>
              <w:jc w:val="left"/>
            </w:pPr>
            <w:r>
              <w:rPr>
                <w:b/>
                <w:bCs/>
              </w:rPr>
              <w:t xml:space="preserve">A-2</w:t>
            </w:r>
          </w:p>
        </w:tc>
        <w:tc>
          <w:tcPr/>
          <w:p>
            <w:pPr>
              <w:pStyle w:val="Compact"/>
              <w:jc w:val="left"/>
            </w:pPr>
            <w:r>
              <w:rPr>
                <w:b/>
                <w:bCs/>
              </w:rPr>
              <w:t xml:space="preserve">R-1</w:t>
            </w:r>
          </w:p>
        </w:tc>
      </w:tr>
      <w:tr>
        <w:tc>
          <w:tcPr/>
          <w:p>
            <w:pPr>
              <w:pStyle w:val="Compact"/>
            </w:pPr>
          </w:p>
        </w:tc>
        <w:tc>
          <w:tcPr/>
          <w:p>
            <w:pPr>
              <w:pStyle w:val="Compact"/>
              <w:jc w:val="left"/>
            </w:pPr>
            <w:r>
              <w:t xml:space="preserve">Minimum lot area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80,000</w:t>
            </w:r>
          </w:p>
        </w:tc>
      </w:tr>
      <w:tr>
        <w:tc>
          <w:tcPr/>
          <w:p>
            <w:pPr>
              <w:pStyle w:val="Compact"/>
            </w:pPr>
          </w:p>
        </w:tc>
        <w:tc>
          <w:tcPr/>
          <w:p>
            <w:pPr>
              <w:pStyle w:val="Compact"/>
              <w:jc w:val="left"/>
            </w:pPr>
            <w:r>
              <w:t xml:space="preserve">Minimum lot area per dwelling unit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80,000</w:t>
            </w:r>
          </w:p>
        </w:tc>
      </w:tr>
      <w:tr>
        <w:tc>
          <w:tcPr/>
          <w:p>
            <w:pPr>
              <w:pStyle w:val="Compact"/>
            </w:pPr>
          </w:p>
        </w:tc>
        <w:tc>
          <w:tcPr/>
          <w:p>
            <w:pPr>
              <w:pStyle w:val="Compact"/>
              <w:jc w:val="left"/>
            </w:pPr>
            <w:r>
              <w:t xml:space="preserve">Minimum lot width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180</w:t>
            </w:r>
          </w:p>
        </w:tc>
      </w:tr>
      <w:tr>
        <w:tc>
          <w:tcPr/>
          <w:p>
            <w:pPr>
              <w:pStyle w:val="Compact"/>
            </w:pPr>
          </w:p>
        </w:tc>
        <w:tc>
          <w:tcPr/>
          <w:p>
            <w:pPr>
              <w:pStyle w:val="Compact"/>
              <w:jc w:val="left"/>
            </w:pPr>
            <w:r>
              <w:t xml:space="preserve">Minimum frontage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180</w:t>
            </w:r>
          </w:p>
        </w:tc>
      </w:tr>
      <w:tr>
        <w:tc>
          <w:tcPr/>
          <w:p>
            <w:pPr>
              <w:pStyle w:val="Compact"/>
            </w:pPr>
          </w:p>
        </w:tc>
        <w:tc>
          <w:tcPr/>
          <w:p>
            <w:pPr>
              <w:pStyle w:val="Compact"/>
              <w:jc w:val="left"/>
            </w:pPr>
            <w:r>
              <w:t xml:space="preserve">Minimum front yard</w:t>
            </w:r>
            <w:r>
              <w:br/>
            </w:r>
            <w:r>
              <w:rPr>
                <w:vertAlign w:val="superscript"/>
              </w:rPr>
              <w:t xml:space="preserve">2</w:t>
            </w:r>
            <w:r>
              <w:br/>
            </w:r>
            <w:r>
              <w:t xml:space="preserve">(feet)</w:t>
            </w:r>
          </w:p>
        </w:tc>
        <w:tc>
          <w:tcPr/>
          <w:p>
            <w:pPr>
              <w:pStyle w:val="Compact"/>
              <w:jc w:val="left"/>
            </w:pPr>
            <w:r>
              <w:t xml:space="preserve">100</w:t>
            </w:r>
          </w:p>
        </w:tc>
        <w:tc>
          <w:tcPr/>
          <w:p>
            <w:pPr>
              <w:pStyle w:val="Compact"/>
              <w:jc w:val="left"/>
            </w:pPr>
            <w:r>
              <w:t xml:space="preserve">75</w:t>
            </w:r>
          </w:p>
        </w:tc>
        <w:tc>
          <w:tcPr/>
          <w:p>
            <w:pPr>
              <w:pStyle w:val="Compact"/>
              <w:jc w:val="left"/>
            </w:pPr>
            <w:r>
              <w:t xml:space="preserve">50</w:t>
            </w:r>
          </w:p>
        </w:tc>
      </w:tr>
      <w:tr>
        <w:tc>
          <w:tcPr/>
          <w:p>
            <w:pPr>
              <w:pStyle w:val="Compact"/>
            </w:pPr>
          </w:p>
        </w:tc>
        <w:tc>
          <w:tcPr/>
          <w:p>
            <w:pPr>
              <w:pStyle w:val="Compact"/>
              <w:jc w:val="left"/>
            </w:pPr>
            <w:r>
              <w:t xml:space="preserve">Minimum side yard (feet)</w:t>
            </w:r>
          </w:p>
        </w:tc>
        <w:tc>
          <w:tcPr/>
          <w:p>
            <w:pPr>
              <w:pStyle w:val="Compact"/>
              <w:jc w:val="left"/>
            </w:pPr>
            <w:r>
              <w:t xml:space="preserve">60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Minimum rear yard (feet)</w:t>
            </w:r>
          </w:p>
        </w:tc>
        <w:tc>
          <w:tcPr/>
          <w:p>
            <w:pPr>
              <w:pStyle w:val="Compact"/>
              <w:jc w:val="left"/>
            </w:pPr>
            <w:r>
              <w:t xml:space="preserve">80</w:t>
            </w:r>
          </w:p>
        </w:tc>
        <w:tc>
          <w:tcPr/>
          <w:p>
            <w:pPr>
              <w:pStyle w:val="Compact"/>
              <w:jc w:val="left"/>
            </w:pPr>
            <w:r>
              <w:t xml:space="preserve">30</w:t>
            </w:r>
          </w:p>
        </w:tc>
        <w:tc>
          <w:tcPr/>
          <w:p>
            <w:pPr>
              <w:pStyle w:val="Compact"/>
              <w:jc w:val="left"/>
            </w:pPr>
            <w:r>
              <w:t xml:space="preserve">30</w:t>
            </w:r>
          </w:p>
        </w:tc>
      </w:tr>
      <w:tr>
        <w:tc>
          <w:tcPr/>
          <w:p>
            <w:pPr>
              <w:pStyle w:val="Compact"/>
            </w:pPr>
          </w:p>
        </w:tc>
        <w:tc>
          <w:tcPr/>
          <w:p>
            <w:pPr>
              <w:pStyle w:val="Compact"/>
              <w:jc w:val="left"/>
            </w:pPr>
            <w:r>
              <w:t xml:space="preserve">Maximum lot coverage</w:t>
            </w:r>
          </w:p>
        </w:tc>
        <w:tc>
          <w:tcPr/>
          <w:p>
            <w:pPr>
              <w:pStyle w:val="Compact"/>
              <w:jc w:val="left"/>
            </w:pPr>
            <w:r>
              <w:t xml:space="preserve">5%</w:t>
            </w:r>
          </w:p>
        </w:tc>
        <w:tc>
          <w:tcPr/>
          <w:p>
            <w:pPr>
              <w:pStyle w:val="Compact"/>
              <w:jc w:val="left"/>
            </w:pPr>
            <w:r>
              <w:t xml:space="preserve">15%</w:t>
            </w:r>
          </w:p>
        </w:tc>
        <w:tc>
          <w:tcPr/>
          <w:p>
            <w:pPr>
              <w:pStyle w:val="Compact"/>
              <w:jc w:val="left"/>
            </w:pPr>
            <w:r>
              <w:t xml:space="preserve">20%</w:t>
            </w:r>
          </w:p>
        </w:tc>
      </w:tr>
      <w:tr>
        <w:tc>
          <w:tcPr/>
          <w:p>
            <w:pPr>
              <w:pStyle w:val="Compact"/>
            </w:pPr>
          </w:p>
        </w:tc>
        <w:tc>
          <w:tcPr/>
          <w:p>
            <w:pPr>
              <w:pStyle w:val="Compact"/>
              <w:jc w:val="left"/>
            </w:pPr>
            <w:r>
              <w:t xml:space="preserve">Maximum height (feet)</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This table does not apply to the R-2 and R-3 Zones.</w:t>
            </w:r>
          </w:p>
        </w:tc>
      </w:tr>
      <w:tr>
        <w:tc>
          <w:tcPr/>
          <w:p>
            <w:pPr>
              <w:pStyle w:val="Compact"/>
            </w:pPr>
          </w:p>
        </w:tc>
        <w:tc>
          <w:tcPr/>
          <w:p>
            <w:pPr>
              <w:pStyle w:val="Compact"/>
              <w:jc w:val="left"/>
            </w:pPr>
            <w:r>
              <w:rPr>
                <w:vertAlign w:val="superscript"/>
              </w:rPr>
              <w:t xml:space="preserve">2</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p>
      <w:pPr>
        <w:pStyle w:val="Compact"/>
        <w:numPr>
          <w:ilvl w:val="0"/>
          <w:numId w:val="1029"/>
        </w:numPr>
      </w:pPr>
      <w:r>
        <w:t xml:space="preserve">(b) Dimensional regulations for areas with water facilities or public sewers but not both.</w:t>
      </w:r>
    </w:p>
    <w:tbl>
      <w:tblPr>
        <w:tblStyle w:val="Table"/>
        <w:tblW w:type="pct" w:w="5000"/>
        <w:jc w:val="left"/>
        <w:tblInd w:w="720" w:type="dxa"/>
        <w:tblLayout w:type="fixed"/>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pPr>
          </w:p>
        </w:tc>
        <w:tc>
          <w:tcPr/>
          <w:p>
            <w:pPr>
              <w:pStyle w:val="Compact"/>
              <w:jc w:val="left"/>
            </w:pPr>
            <w:r>
              <w:rPr>
                <w:b/>
                <w:bCs/>
              </w:rPr>
              <w:t xml:space="preserve">A-1</w:t>
            </w:r>
          </w:p>
        </w:tc>
        <w:tc>
          <w:tcPr/>
          <w:p>
            <w:pPr>
              <w:pStyle w:val="Compact"/>
              <w:jc w:val="left"/>
            </w:pPr>
            <w:r>
              <w:rPr>
                <w:b/>
                <w:bCs/>
              </w:rPr>
              <w:t xml:space="preserve">A-2</w:t>
            </w:r>
          </w:p>
        </w:tc>
        <w:tc>
          <w:tcPr/>
          <w:p>
            <w:pPr>
              <w:pStyle w:val="Compact"/>
              <w:jc w:val="left"/>
            </w:pPr>
            <w:r>
              <w:rPr>
                <w:b/>
                <w:bCs/>
              </w:rPr>
              <w:t xml:space="preserve">R-1</w:t>
            </w:r>
          </w:p>
        </w:tc>
        <w:tc>
          <w:tcPr/>
          <w:p>
            <w:pPr>
              <w:pStyle w:val="Compact"/>
              <w:jc w:val="left"/>
            </w:pPr>
            <w:r>
              <w:rPr>
                <w:b/>
                <w:bCs/>
              </w:rPr>
              <w:t xml:space="preserve">R-2</w:t>
            </w:r>
          </w:p>
        </w:tc>
        <w:tc>
          <w:tcPr/>
          <w:p>
            <w:pPr>
              <w:pStyle w:val="Compact"/>
              <w:jc w:val="left"/>
            </w:pPr>
            <w:r>
              <w:rPr>
                <w:b/>
                <w:bCs/>
              </w:rPr>
              <w:t xml:space="preserve">R-3</w:t>
            </w:r>
          </w:p>
        </w:tc>
      </w:tr>
      <w:tr>
        <w:tc>
          <w:tcPr/>
          <w:p>
            <w:pPr>
              <w:pStyle w:val="Compact"/>
            </w:pPr>
          </w:p>
        </w:tc>
        <w:tc>
          <w:tcPr/>
          <w:p>
            <w:pPr>
              <w:pStyle w:val="Compact"/>
              <w:jc w:val="left"/>
            </w:pPr>
            <w:r>
              <w:t xml:space="preserve">Minimum lot area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40,000</w:t>
            </w:r>
          </w:p>
        </w:tc>
        <w:tc>
          <w:tcPr/>
          <w:p>
            <w:pPr>
              <w:pStyle w:val="Compact"/>
              <w:jc w:val="left"/>
            </w:pPr>
            <w:r>
              <w:t xml:space="preserve">30,000</w:t>
            </w:r>
          </w:p>
        </w:tc>
        <w:tc>
          <w:tcPr/>
          <w:p>
            <w:pPr>
              <w:pStyle w:val="Compact"/>
              <w:jc w:val="left"/>
            </w:pPr>
            <w:r>
              <w:t xml:space="preserve">30,000</w:t>
            </w:r>
          </w:p>
        </w:tc>
      </w:tr>
      <w:tr>
        <w:tc>
          <w:tcPr/>
          <w:p>
            <w:pPr>
              <w:pStyle w:val="Compact"/>
            </w:pPr>
          </w:p>
        </w:tc>
        <w:tc>
          <w:tcPr/>
          <w:p>
            <w:pPr>
              <w:pStyle w:val="Compact"/>
              <w:jc w:val="left"/>
            </w:pPr>
            <w:r>
              <w:t xml:space="preserve">Minimum lot area per dwelling unit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40,000</w:t>
            </w:r>
          </w:p>
        </w:tc>
        <w:tc>
          <w:tcPr/>
          <w:p>
            <w:pPr>
              <w:pStyle w:val="Compact"/>
              <w:jc w:val="left"/>
            </w:pPr>
            <w:r>
              <w:t xml:space="preserve">30,000 plus 10,000 for 2nd unit</w:t>
            </w:r>
          </w:p>
        </w:tc>
        <w:tc>
          <w:tcPr/>
          <w:p>
            <w:pPr>
              <w:pStyle w:val="Compact"/>
              <w:jc w:val="left"/>
            </w:pPr>
            <w:r>
              <w:t xml:space="preserve">30,000 plus 10,000 for each additional unit</w:t>
            </w:r>
          </w:p>
        </w:tc>
      </w:tr>
      <w:tr>
        <w:tc>
          <w:tcPr/>
          <w:p>
            <w:pPr>
              <w:pStyle w:val="Compact"/>
            </w:pPr>
          </w:p>
        </w:tc>
        <w:tc>
          <w:tcPr/>
          <w:p>
            <w:pPr>
              <w:pStyle w:val="Compact"/>
              <w:jc w:val="left"/>
            </w:pPr>
            <w:r>
              <w:t xml:space="preserve">Minimum lot width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100</w:t>
            </w:r>
          </w:p>
        </w:tc>
        <w:tc>
          <w:tcPr/>
          <w:p>
            <w:pPr>
              <w:pStyle w:val="Compact"/>
              <w:jc w:val="left"/>
            </w:pPr>
            <w:r>
              <w:t xml:space="preserve">90</w:t>
            </w:r>
          </w:p>
        </w:tc>
        <w:tc>
          <w:tcPr/>
          <w:p>
            <w:pPr>
              <w:pStyle w:val="Compact"/>
              <w:jc w:val="left"/>
            </w:pPr>
            <w:r>
              <w:t xml:space="preserve">90</w:t>
            </w:r>
          </w:p>
        </w:tc>
      </w:tr>
      <w:tr>
        <w:tc>
          <w:tcPr/>
          <w:p>
            <w:pPr>
              <w:pStyle w:val="Compact"/>
            </w:pPr>
          </w:p>
        </w:tc>
        <w:tc>
          <w:tcPr/>
          <w:p>
            <w:pPr>
              <w:pStyle w:val="Compact"/>
              <w:jc w:val="left"/>
            </w:pPr>
            <w:r>
              <w:t xml:space="preserve">Minimum frontage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100</w:t>
            </w:r>
          </w:p>
        </w:tc>
        <w:tc>
          <w:tcPr/>
          <w:p>
            <w:pPr>
              <w:pStyle w:val="Compact"/>
              <w:jc w:val="left"/>
            </w:pPr>
            <w:r>
              <w:t xml:space="preserve">90</w:t>
            </w:r>
          </w:p>
        </w:tc>
        <w:tc>
          <w:tcPr/>
          <w:p>
            <w:pPr>
              <w:pStyle w:val="Compact"/>
              <w:jc w:val="left"/>
            </w:pPr>
            <w:r>
              <w:t xml:space="preserve">90</w:t>
            </w:r>
          </w:p>
        </w:tc>
      </w:tr>
      <w:tr>
        <w:tc>
          <w:tcPr/>
          <w:p>
            <w:pPr>
              <w:pStyle w:val="Compact"/>
            </w:pPr>
          </w:p>
        </w:tc>
        <w:tc>
          <w:tcPr/>
          <w:p>
            <w:pPr>
              <w:pStyle w:val="Compact"/>
              <w:jc w:val="left"/>
            </w:pPr>
            <w:r>
              <w:t xml:space="preserve">Minimum front yard</w:t>
            </w:r>
            <w:r>
              <w:br/>
            </w:r>
            <w:r>
              <w:rPr>
                <w:vertAlign w:val="superscript"/>
              </w:rPr>
              <w:t xml:space="preserve">1</w:t>
            </w:r>
            <w:r>
              <w:br/>
            </w:r>
            <w:r>
              <w:t xml:space="preserve">(feet)</w:t>
            </w:r>
          </w:p>
        </w:tc>
        <w:tc>
          <w:tcPr/>
          <w:p>
            <w:pPr>
              <w:pStyle w:val="Compact"/>
              <w:jc w:val="left"/>
            </w:pPr>
            <w:r>
              <w:t xml:space="preserve">100</w:t>
            </w:r>
          </w:p>
        </w:tc>
        <w:tc>
          <w:tcPr/>
          <w:p>
            <w:pPr>
              <w:pStyle w:val="Compact"/>
              <w:jc w:val="left"/>
            </w:pPr>
            <w:r>
              <w:t xml:space="preserve">75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r>
      <w:tr>
        <w:tc>
          <w:tcPr/>
          <w:p>
            <w:pPr>
              <w:pStyle w:val="Compact"/>
            </w:pPr>
          </w:p>
        </w:tc>
        <w:tc>
          <w:tcPr/>
          <w:p>
            <w:pPr>
              <w:pStyle w:val="Compact"/>
              <w:jc w:val="left"/>
            </w:pPr>
            <w:r>
              <w:t xml:space="preserve">Minimum side yard (feet)</w:t>
            </w:r>
          </w:p>
        </w:tc>
        <w:tc>
          <w:tcPr/>
          <w:p>
            <w:pPr>
              <w:pStyle w:val="Compact"/>
              <w:jc w:val="left"/>
            </w:pPr>
            <w:r>
              <w:t xml:space="preserve">60</w:t>
            </w:r>
          </w:p>
        </w:tc>
        <w:tc>
          <w:tcPr/>
          <w:p>
            <w:pPr>
              <w:pStyle w:val="Compact"/>
              <w:jc w:val="left"/>
            </w:pPr>
            <w:r>
              <w:t xml:space="preserve">20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rear yard (feet)</w:t>
            </w:r>
          </w:p>
        </w:tc>
        <w:tc>
          <w:tcPr/>
          <w:p>
            <w:pPr>
              <w:pStyle w:val="Compact"/>
              <w:jc w:val="left"/>
            </w:pPr>
            <w:r>
              <w:t xml:space="preserve">80</w:t>
            </w:r>
          </w:p>
        </w:tc>
        <w:tc>
          <w:tcPr/>
          <w:p>
            <w:pPr>
              <w:pStyle w:val="Compact"/>
              <w:jc w:val="left"/>
            </w:pPr>
            <w:r>
              <w:t xml:space="preserve">30</w:t>
            </w:r>
          </w:p>
        </w:tc>
        <w:tc>
          <w:tcPr/>
          <w:p>
            <w:pPr>
              <w:pStyle w:val="Compact"/>
              <w:jc w:val="left"/>
            </w:pPr>
            <w:r>
              <w:t xml:space="preserve">25</w:t>
            </w:r>
          </w:p>
        </w:tc>
        <w:tc>
          <w:tcPr/>
          <w:p>
            <w:pPr>
              <w:pStyle w:val="Compact"/>
              <w:jc w:val="left"/>
            </w:pPr>
            <w:r>
              <w:t xml:space="preserve">15</w:t>
            </w:r>
          </w:p>
        </w:tc>
        <w:tc>
          <w:tcPr/>
          <w:p>
            <w:pPr>
              <w:pStyle w:val="Compact"/>
              <w:jc w:val="left"/>
            </w:pPr>
            <w:r>
              <w:t xml:space="preserve">15</w:t>
            </w:r>
          </w:p>
        </w:tc>
      </w:tr>
      <w:tr>
        <w:tc>
          <w:tcPr/>
          <w:p>
            <w:pPr>
              <w:pStyle w:val="Compact"/>
            </w:pPr>
          </w:p>
        </w:tc>
        <w:tc>
          <w:tcPr/>
          <w:p>
            <w:pPr>
              <w:pStyle w:val="Compact"/>
              <w:jc w:val="left"/>
            </w:pPr>
            <w:r>
              <w:t xml:space="preserve">Maximum lot coverage</w:t>
            </w:r>
          </w:p>
        </w:tc>
        <w:tc>
          <w:tcPr/>
          <w:p>
            <w:pPr>
              <w:pStyle w:val="Compact"/>
              <w:jc w:val="left"/>
            </w:pPr>
            <w:r>
              <w:t xml:space="preserve">5%</w:t>
            </w:r>
          </w:p>
        </w:tc>
        <w:tc>
          <w:tcPr/>
          <w:p>
            <w:pPr>
              <w:pStyle w:val="Compact"/>
              <w:jc w:val="left"/>
            </w:pPr>
            <w:r>
              <w:t xml:space="preserve">15%</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Maximum height (feet)</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p>
      <w:pPr>
        <w:pStyle w:val="Compact"/>
        <w:numPr>
          <w:ilvl w:val="0"/>
          <w:numId w:val="1029"/>
        </w:numPr>
      </w:pPr>
      <w:r>
        <w:t xml:space="preserve">(c) Dimensional regulations for areas with both water facilities and public sewers.</w:t>
      </w:r>
    </w:p>
    <w:tbl>
      <w:tblPr>
        <w:tblStyle w:val="Table"/>
        <w:tblW w:type="pct" w:w="5000"/>
        <w:jc w:val="left"/>
        <w:tblInd w:w="720" w:type="dxa"/>
        <w:tblLayout w:type="fixed"/>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pPr>
          </w:p>
        </w:tc>
        <w:tc>
          <w:tcPr/>
          <w:p>
            <w:pPr>
              <w:pStyle w:val="Compact"/>
              <w:jc w:val="left"/>
            </w:pPr>
            <w:r>
              <w:rPr>
                <w:b/>
                <w:bCs/>
              </w:rPr>
              <w:t xml:space="preserve">A-1</w:t>
            </w:r>
          </w:p>
        </w:tc>
        <w:tc>
          <w:tcPr/>
          <w:p>
            <w:pPr>
              <w:pStyle w:val="Compact"/>
              <w:jc w:val="left"/>
            </w:pPr>
            <w:r>
              <w:rPr>
                <w:b/>
                <w:bCs/>
              </w:rPr>
              <w:t xml:space="preserve">A-2</w:t>
            </w:r>
          </w:p>
        </w:tc>
        <w:tc>
          <w:tcPr/>
          <w:p>
            <w:pPr>
              <w:pStyle w:val="Compact"/>
              <w:jc w:val="left"/>
            </w:pPr>
            <w:r>
              <w:rPr>
                <w:b/>
                <w:bCs/>
              </w:rPr>
              <w:t xml:space="preserve">R-1</w:t>
            </w:r>
          </w:p>
        </w:tc>
        <w:tc>
          <w:tcPr/>
          <w:p>
            <w:pPr>
              <w:pStyle w:val="Compact"/>
              <w:jc w:val="left"/>
            </w:pPr>
            <w:r>
              <w:rPr>
                <w:b/>
                <w:bCs/>
              </w:rPr>
              <w:t xml:space="preserve">R-2</w:t>
            </w:r>
          </w:p>
        </w:tc>
        <w:tc>
          <w:tcPr/>
          <w:p>
            <w:pPr>
              <w:pStyle w:val="Compact"/>
              <w:jc w:val="left"/>
            </w:pPr>
            <w:r>
              <w:rPr>
                <w:b/>
                <w:bCs/>
              </w:rPr>
              <w:t xml:space="preserve">R-3</w:t>
            </w:r>
          </w:p>
        </w:tc>
      </w:tr>
      <w:tr>
        <w:tc>
          <w:tcPr/>
          <w:p>
            <w:pPr>
              <w:pStyle w:val="Compact"/>
            </w:pPr>
          </w:p>
        </w:tc>
        <w:tc>
          <w:tcPr/>
          <w:p>
            <w:pPr>
              <w:pStyle w:val="Compact"/>
              <w:jc w:val="left"/>
            </w:pPr>
            <w:r>
              <w:t xml:space="preserve">Minimum lot area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25,000</w:t>
            </w:r>
          </w:p>
        </w:tc>
        <w:tc>
          <w:tcPr/>
          <w:p>
            <w:pPr>
              <w:pStyle w:val="Compact"/>
              <w:jc w:val="left"/>
            </w:pPr>
            <w:r>
              <w:t xml:space="preserve">10,000</w:t>
            </w:r>
          </w:p>
        </w:tc>
        <w:tc>
          <w:tcPr/>
          <w:p>
            <w:pPr>
              <w:pStyle w:val="Compact"/>
              <w:jc w:val="left"/>
            </w:pPr>
            <w:r>
              <w:t xml:space="preserve">10,000</w:t>
            </w:r>
          </w:p>
        </w:tc>
      </w:tr>
      <w:tr>
        <w:tc>
          <w:tcPr/>
          <w:p>
            <w:pPr>
              <w:pStyle w:val="Compact"/>
            </w:pPr>
          </w:p>
        </w:tc>
        <w:tc>
          <w:tcPr/>
          <w:p>
            <w:pPr>
              <w:pStyle w:val="Compact"/>
              <w:jc w:val="left"/>
            </w:pPr>
            <w:r>
              <w:t xml:space="preserve">Minimum lot area per dwelling unit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25,000</w:t>
            </w:r>
          </w:p>
        </w:tc>
        <w:tc>
          <w:tcPr/>
          <w:p>
            <w:pPr>
              <w:pStyle w:val="Compact"/>
              <w:jc w:val="left"/>
            </w:pPr>
            <w:r>
              <w:t xml:space="preserve">10,000 plus 5,000 for 2nd unit</w:t>
            </w:r>
          </w:p>
        </w:tc>
        <w:tc>
          <w:tcPr/>
          <w:p>
            <w:pPr>
              <w:pStyle w:val="Compact"/>
              <w:jc w:val="left"/>
            </w:pPr>
            <w:r>
              <w:t xml:space="preserve">10,000 plus 5,000 for each additional unit</w:t>
            </w:r>
          </w:p>
        </w:tc>
      </w:tr>
      <w:tr>
        <w:tc>
          <w:tcPr/>
          <w:p>
            <w:pPr>
              <w:pStyle w:val="Compact"/>
            </w:pPr>
          </w:p>
        </w:tc>
        <w:tc>
          <w:tcPr/>
          <w:p>
            <w:pPr>
              <w:pStyle w:val="Compact"/>
              <w:jc w:val="left"/>
            </w:pPr>
            <w:r>
              <w:t xml:space="preserve">Minimum lot width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100</w:t>
            </w:r>
          </w:p>
        </w:tc>
        <w:tc>
          <w:tcPr/>
          <w:p>
            <w:pPr>
              <w:pStyle w:val="Compact"/>
              <w:jc w:val="left"/>
            </w:pPr>
            <w:r>
              <w:t xml:space="preserve">40</w:t>
            </w:r>
          </w:p>
        </w:tc>
        <w:tc>
          <w:tcPr/>
          <w:p>
            <w:pPr>
              <w:pStyle w:val="Compact"/>
              <w:jc w:val="left"/>
            </w:pPr>
            <w:r>
              <w:t xml:space="preserve">40</w:t>
            </w:r>
          </w:p>
        </w:tc>
      </w:tr>
      <w:tr>
        <w:tc>
          <w:tcPr/>
          <w:p>
            <w:pPr>
              <w:pStyle w:val="Compact"/>
            </w:pPr>
          </w:p>
        </w:tc>
        <w:tc>
          <w:tcPr/>
          <w:p>
            <w:pPr>
              <w:pStyle w:val="Compact"/>
              <w:jc w:val="left"/>
            </w:pPr>
            <w:r>
              <w:t xml:space="preserve">Minimum frontage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100</w:t>
            </w:r>
          </w:p>
        </w:tc>
        <w:tc>
          <w:tcPr/>
          <w:p>
            <w:pPr>
              <w:pStyle w:val="Compact"/>
              <w:jc w:val="left"/>
            </w:pPr>
            <w:r>
              <w:t xml:space="preserve">40</w:t>
            </w:r>
          </w:p>
        </w:tc>
        <w:tc>
          <w:tcPr/>
          <w:p>
            <w:pPr>
              <w:pStyle w:val="Compact"/>
              <w:jc w:val="left"/>
            </w:pPr>
            <w:r>
              <w:t xml:space="preserve">40</w:t>
            </w:r>
          </w:p>
        </w:tc>
      </w:tr>
      <w:tr>
        <w:tc>
          <w:tcPr/>
          <w:p>
            <w:pPr>
              <w:pStyle w:val="Compact"/>
            </w:pPr>
          </w:p>
        </w:tc>
        <w:tc>
          <w:tcPr/>
          <w:p>
            <w:pPr>
              <w:pStyle w:val="Compact"/>
              <w:jc w:val="left"/>
            </w:pPr>
            <w:r>
              <w:t xml:space="preserve">Minimum front yard</w:t>
            </w:r>
            <w:r>
              <w:br/>
            </w:r>
            <w:r>
              <w:rPr>
                <w:vertAlign w:val="superscript"/>
              </w:rPr>
              <w:t xml:space="preserve">1</w:t>
            </w:r>
            <w:r>
              <w:br/>
            </w:r>
            <w:r>
              <w:t xml:space="preserve">(feet)</w:t>
            </w:r>
          </w:p>
        </w:tc>
        <w:tc>
          <w:tcPr/>
          <w:p>
            <w:pPr>
              <w:pStyle w:val="Compact"/>
              <w:jc w:val="left"/>
            </w:pPr>
            <w:r>
              <w:t xml:space="preserve">100</w:t>
            </w:r>
          </w:p>
        </w:tc>
        <w:tc>
          <w:tcPr/>
          <w:p>
            <w:pPr>
              <w:pStyle w:val="Compact"/>
              <w:jc w:val="left"/>
            </w:pPr>
            <w:r>
              <w:t xml:space="preserve">75</w:t>
            </w:r>
          </w:p>
        </w:tc>
        <w:tc>
          <w:tcPr/>
          <w:p>
            <w:pPr>
              <w:pStyle w:val="Compact"/>
              <w:jc w:val="left"/>
            </w:pPr>
            <w:r>
              <w:t xml:space="preserve">20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side yard (feet)</w:t>
            </w:r>
          </w:p>
        </w:tc>
        <w:tc>
          <w:tcPr/>
          <w:p>
            <w:pPr>
              <w:pStyle w:val="Compact"/>
              <w:jc w:val="left"/>
            </w:pPr>
            <w:r>
              <w:t xml:space="preserve">60</w:t>
            </w:r>
          </w:p>
        </w:tc>
        <w:tc>
          <w:tcPr/>
          <w:p>
            <w:pPr>
              <w:pStyle w:val="Compact"/>
              <w:jc w:val="left"/>
            </w:pPr>
            <w:r>
              <w:t xml:space="preserve">20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rear yard (feet)</w:t>
            </w:r>
          </w:p>
        </w:tc>
        <w:tc>
          <w:tcPr/>
          <w:p>
            <w:pPr>
              <w:pStyle w:val="Compact"/>
              <w:jc w:val="left"/>
            </w:pPr>
            <w:r>
              <w:t xml:space="preserve">80</w:t>
            </w:r>
          </w:p>
        </w:tc>
        <w:tc>
          <w:tcPr/>
          <w:p>
            <w:pPr>
              <w:pStyle w:val="Compact"/>
              <w:jc w:val="left"/>
            </w:pPr>
            <w:r>
              <w:t xml:space="preserve">30</w:t>
            </w:r>
          </w:p>
        </w:tc>
        <w:tc>
          <w:tcPr/>
          <w:p>
            <w:pPr>
              <w:pStyle w:val="Compact"/>
              <w:jc w:val="left"/>
            </w:pPr>
            <w:r>
              <w:t xml:space="preserve">25</w:t>
            </w:r>
          </w:p>
        </w:tc>
        <w:tc>
          <w:tcPr/>
          <w:p>
            <w:pPr>
              <w:pStyle w:val="Compact"/>
              <w:jc w:val="left"/>
            </w:pPr>
            <w:r>
              <w:t xml:space="preserve">15</w:t>
            </w:r>
          </w:p>
        </w:tc>
        <w:tc>
          <w:tcPr/>
          <w:p>
            <w:pPr>
              <w:pStyle w:val="Compact"/>
              <w:jc w:val="left"/>
            </w:pPr>
            <w:r>
              <w:t xml:space="preserve">15</w:t>
            </w:r>
          </w:p>
        </w:tc>
      </w:tr>
      <w:tr>
        <w:tc>
          <w:tcPr/>
          <w:p>
            <w:pPr>
              <w:pStyle w:val="Compact"/>
            </w:pPr>
          </w:p>
        </w:tc>
        <w:tc>
          <w:tcPr/>
          <w:p>
            <w:pPr>
              <w:pStyle w:val="Compact"/>
              <w:jc w:val="left"/>
            </w:pPr>
            <w:r>
              <w:t xml:space="preserve">Maximum lot coverage</w:t>
            </w:r>
          </w:p>
        </w:tc>
        <w:tc>
          <w:tcPr/>
          <w:p>
            <w:pPr>
              <w:pStyle w:val="Compact"/>
              <w:jc w:val="left"/>
            </w:pPr>
            <w:r>
              <w:t xml:space="preserve">5%</w:t>
            </w:r>
          </w:p>
        </w:tc>
        <w:tc>
          <w:tcPr/>
          <w:p>
            <w:pPr>
              <w:pStyle w:val="Compact"/>
              <w:jc w:val="left"/>
            </w:pPr>
            <w:r>
              <w:t xml:space="preserve">15%</w:t>
            </w:r>
          </w:p>
        </w:tc>
        <w:tc>
          <w:tcPr/>
          <w:p>
            <w:pPr>
              <w:pStyle w:val="Compact"/>
              <w:jc w:val="left"/>
            </w:pPr>
            <w:r>
              <w:t xml:space="preserve">20%</w:t>
            </w:r>
          </w:p>
        </w:tc>
        <w:tc>
          <w:tcPr/>
          <w:p>
            <w:pPr>
              <w:pStyle w:val="Compact"/>
              <w:jc w:val="left"/>
            </w:pPr>
            <w:r>
              <w:t xml:space="preserve">40%</w:t>
            </w:r>
          </w:p>
        </w:tc>
        <w:tc>
          <w:tcPr/>
          <w:p>
            <w:pPr>
              <w:pStyle w:val="Compact"/>
              <w:jc w:val="left"/>
            </w:pPr>
            <w:r>
              <w:t xml:space="preserve">40%</w:t>
            </w:r>
          </w:p>
        </w:tc>
      </w:tr>
      <w:tr>
        <w:tc>
          <w:tcPr/>
          <w:p>
            <w:pPr>
              <w:pStyle w:val="Compact"/>
            </w:pPr>
          </w:p>
        </w:tc>
        <w:tc>
          <w:tcPr/>
          <w:p>
            <w:pPr>
              <w:pStyle w:val="Compact"/>
              <w:jc w:val="left"/>
            </w:pPr>
            <w:r>
              <w:t xml:space="preserve">Maximum height (feet)</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bookmarkEnd w:id="44"/>
    <w:bookmarkStart w:id="45" w:name="commercial-and-industrial-zones"/>
    <w:p>
      <w:pPr>
        <w:pStyle w:val="Heading2"/>
      </w:pPr>
      <w:r>
        <w:t xml:space="preserve">§ 5-3. Commercial and industrial zones</w:t>
      </w:r>
    </w:p>
    <w:p>
      <w:pPr>
        <w:pStyle w:val="FirstParagraph"/>
      </w:pPr>
      <w:r>
        <w:rPr>
          <w:i/>
          <w:iCs/>
        </w:rPr>
        <w:t xml:space="preserve">[Ord. No. 08-31, 10-7-2009]</w:t>
      </w:r>
    </w:p>
    <w:p>
      <w:pPr>
        <w:pStyle w:val="Compact"/>
        <w:numPr>
          <w:ilvl w:val="0"/>
          <w:numId w:val="1030"/>
        </w:numPr>
      </w:pPr>
      <w:r>
        <w:t xml:space="preserve">(a) Dimensional regulations for areas without water facilities or public sewers.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pPr>
          </w:p>
        </w:tc>
        <w:tc>
          <w:tcPr/>
          <w:p>
            <w:pPr>
              <w:pStyle w:val="Compact"/>
              <w:jc w:val="left"/>
            </w:pPr>
            <w:r>
              <w:rPr>
                <w:b/>
                <w:bCs/>
              </w:rPr>
              <w:t xml:space="preserve">C-1</w:t>
            </w:r>
          </w:p>
        </w:tc>
        <w:tc>
          <w:tcPr/>
          <w:p>
            <w:pPr>
              <w:pStyle w:val="Compact"/>
              <w:jc w:val="left"/>
            </w:pPr>
            <w:r>
              <w:rPr>
                <w:b/>
                <w:bCs/>
              </w:rPr>
              <w:t xml:space="preserve">C-2</w:t>
            </w:r>
          </w:p>
        </w:tc>
        <w:tc>
          <w:tcPr/>
          <w:p>
            <w:pPr>
              <w:pStyle w:val="Compact"/>
              <w:jc w:val="left"/>
            </w:pPr>
            <w:r>
              <w:rPr>
                <w:b/>
                <w:bCs/>
              </w:rPr>
              <w:t xml:space="preserve">I-1</w:t>
            </w:r>
          </w:p>
        </w:tc>
        <w:tc>
          <w:tcPr/>
          <w:p>
            <w:pPr>
              <w:pStyle w:val="Compact"/>
              <w:jc w:val="left"/>
            </w:pPr>
            <w:r>
              <w:rPr>
                <w:b/>
                <w:bCs/>
              </w:rPr>
              <w:t xml:space="preserve">I-2</w:t>
            </w:r>
          </w:p>
        </w:tc>
      </w:tr>
      <w:tr>
        <w:tc>
          <w:tcPr/>
          <w:p>
            <w:pPr>
              <w:pStyle w:val="Compact"/>
            </w:pPr>
          </w:p>
        </w:tc>
        <w:tc>
          <w:tcPr/>
          <w:p>
            <w:pPr>
              <w:pStyle w:val="Compact"/>
              <w:jc w:val="left"/>
            </w:pPr>
            <w:r>
              <w:t xml:space="preserve">Minimum lot area (square feet)</w:t>
            </w:r>
          </w:p>
        </w:tc>
        <w:tc>
          <w:tcPr/>
          <w:p>
            <w:pPr>
              <w:pStyle w:val="Compact"/>
              <w:jc w:val="left"/>
            </w:pPr>
            <w:r>
              <w:t xml:space="preserve">80,000</w:t>
            </w:r>
            <w:r>
              <w:br/>
            </w:r>
            <w:r>
              <w:rPr>
                <w:vertAlign w:val="superscript"/>
              </w:rPr>
              <w:t xml:space="preserve">1</w:t>
            </w:r>
          </w:p>
        </w:tc>
        <w:tc>
          <w:tcPr/>
          <w:p>
            <w:pPr>
              <w:pStyle w:val="Compact"/>
              <w:jc w:val="left"/>
            </w:pPr>
            <w:r>
              <w:t xml:space="preserve">80,000</w:t>
            </w:r>
          </w:p>
        </w:tc>
        <w:tc>
          <w:tcPr/>
          <w:p>
            <w:pPr>
              <w:pStyle w:val="Compact"/>
              <w:jc w:val="left"/>
            </w:pPr>
            <w:r>
              <w:t xml:space="preserve">80,000</w:t>
            </w:r>
          </w:p>
        </w:tc>
        <w:tc>
          <w:tcPr/>
          <w:p>
            <w:pPr>
              <w:pStyle w:val="Compact"/>
              <w:jc w:val="left"/>
            </w:pPr>
            <w:r>
              <w:t xml:space="preserve">80,000</w:t>
            </w:r>
          </w:p>
        </w:tc>
      </w:tr>
      <w:tr>
        <w:tc>
          <w:tcPr/>
          <w:p>
            <w:pPr>
              <w:pStyle w:val="Compact"/>
            </w:pPr>
          </w:p>
        </w:tc>
        <w:tc>
          <w:tcPr/>
          <w:p>
            <w:pPr>
              <w:pStyle w:val="Compact"/>
              <w:jc w:val="left"/>
            </w:pPr>
            <w:r>
              <w:t xml:space="preserve">Minimum lot width (feet)</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r>
      <w:tr>
        <w:tc>
          <w:tcPr/>
          <w:p>
            <w:pPr>
              <w:pStyle w:val="Compact"/>
            </w:pPr>
          </w:p>
        </w:tc>
        <w:tc>
          <w:tcPr/>
          <w:p>
            <w:pPr>
              <w:pStyle w:val="Compact"/>
              <w:jc w:val="left"/>
            </w:pPr>
            <w:r>
              <w:t xml:space="preserve">Minimum frontage (feet)</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r>
      <w:tr>
        <w:tc>
          <w:tcPr/>
          <w:p>
            <w:pPr>
              <w:pStyle w:val="Compact"/>
            </w:pPr>
          </w:p>
        </w:tc>
        <w:tc>
          <w:tcPr/>
          <w:p>
            <w:pPr>
              <w:pStyle w:val="Compact"/>
              <w:jc w:val="left"/>
            </w:pPr>
            <w:r>
              <w:t xml:space="preserve">Minimum front yard</w:t>
            </w:r>
            <w:r>
              <w:br/>
            </w:r>
            <w:r>
              <w:rPr>
                <w:vertAlign w:val="superscript"/>
              </w:rPr>
              <w:t xml:space="preserve">2</w:t>
            </w:r>
            <w:r>
              <w:br/>
            </w:r>
            <w:r>
              <w:t xml:space="preserve">(feet)</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r>
      <w:tr>
        <w:tc>
          <w:tcPr/>
          <w:p>
            <w:pPr>
              <w:pStyle w:val="Compact"/>
            </w:pPr>
          </w:p>
        </w:tc>
        <w:tc>
          <w:tcPr/>
          <w:p>
            <w:pPr>
              <w:pStyle w:val="Compact"/>
              <w:jc w:val="left"/>
            </w:pPr>
            <w:r>
              <w:t xml:space="preserve">Minimum side yard (feet)</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Minimum rear yard (feet)</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Maximum lot coverage</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60%</w:t>
            </w:r>
          </w:p>
        </w:tc>
      </w:tr>
      <w:tr>
        <w:tc>
          <w:tcPr/>
          <w:p>
            <w:pPr>
              <w:pStyle w:val="Compact"/>
            </w:pPr>
          </w:p>
        </w:tc>
        <w:tc>
          <w:tcPr/>
          <w:p>
            <w:pPr>
              <w:pStyle w:val="Compact"/>
              <w:jc w:val="left"/>
            </w:pPr>
            <w:r>
              <w:t xml:space="preserve">Maximum height (feet)</w:t>
            </w:r>
          </w:p>
        </w:tc>
        <w:tc>
          <w:tcPr/>
          <w:p>
            <w:pPr>
              <w:pStyle w:val="Compact"/>
              <w:jc w:val="left"/>
            </w:pPr>
            <w:r>
              <w:t xml:space="preserve">45</w:t>
            </w:r>
          </w:p>
        </w:tc>
        <w:tc>
          <w:tcPr/>
          <w:p>
            <w:pPr>
              <w:pStyle w:val="Compact"/>
              <w:jc w:val="left"/>
            </w:pPr>
            <w:r>
              <w:t xml:space="preserve">45</w:t>
            </w:r>
          </w:p>
        </w:tc>
        <w:tc>
          <w:tcPr/>
          <w:p>
            <w:pPr>
              <w:pStyle w:val="Compact"/>
              <w:jc w:val="left"/>
            </w:pPr>
            <w:r>
              <w:t xml:space="preserve">75</w:t>
            </w:r>
          </w:p>
        </w:tc>
        <w:tc>
          <w:tcPr/>
          <w:p>
            <w:pPr>
              <w:pStyle w:val="Compact"/>
              <w:jc w:val="left"/>
            </w:pPr>
            <w:r>
              <w:t xml:space="preserve">75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The applicable residential density for mixed-use residential development shall be one unit per 10,000 square feet of land suitable for development</w:t>
            </w:r>
          </w:p>
        </w:tc>
      </w:tr>
      <w:tr>
        <w:tc>
          <w:tcPr/>
          <w:p>
            <w:pPr>
              <w:pStyle w:val="Compact"/>
            </w:pPr>
          </w:p>
        </w:tc>
        <w:tc>
          <w:tcPr/>
          <w:p>
            <w:pPr>
              <w:pStyle w:val="Compact"/>
              <w:jc w:val="left"/>
            </w:pPr>
            <w:r>
              <w:rPr>
                <w:vertAlign w:val="superscript"/>
              </w:rPr>
              <w:t xml:space="preserve">2</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p>
      <w:pPr>
        <w:pStyle w:val="Compact"/>
        <w:numPr>
          <w:ilvl w:val="0"/>
          <w:numId w:val="1030"/>
        </w:numPr>
      </w:pPr>
      <w:r>
        <w:t xml:space="preserve">(b) Dimensional regulations for areas with water facilities or public sewers but not both.</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pPr>
          </w:p>
        </w:tc>
        <w:tc>
          <w:tcPr/>
          <w:p>
            <w:pPr>
              <w:pStyle w:val="Compact"/>
              <w:jc w:val="left"/>
            </w:pPr>
            <w:r>
              <w:rPr>
                <w:b/>
                <w:bCs/>
              </w:rPr>
              <w:t xml:space="preserve">C-1</w:t>
            </w:r>
          </w:p>
        </w:tc>
        <w:tc>
          <w:tcPr/>
          <w:p>
            <w:pPr>
              <w:pStyle w:val="Compact"/>
              <w:jc w:val="left"/>
            </w:pPr>
            <w:r>
              <w:rPr>
                <w:b/>
                <w:bCs/>
              </w:rPr>
              <w:t xml:space="preserve">C-2</w:t>
            </w:r>
          </w:p>
        </w:tc>
        <w:tc>
          <w:tcPr/>
          <w:p>
            <w:pPr>
              <w:pStyle w:val="Compact"/>
              <w:jc w:val="left"/>
            </w:pPr>
            <w:r>
              <w:rPr>
                <w:b/>
                <w:bCs/>
              </w:rPr>
              <w:t xml:space="preserve">I-1</w:t>
            </w:r>
          </w:p>
        </w:tc>
        <w:tc>
          <w:tcPr/>
          <w:p>
            <w:pPr>
              <w:pStyle w:val="Compact"/>
              <w:jc w:val="left"/>
            </w:pPr>
            <w:r>
              <w:rPr>
                <w:b/>
                <w:bCs/>
              </w:rPr>
              <w:t xml:space="preserve">I-2</w:t>
            </w:r>
          </w:p>
        </w:tc>
      </w:tr>
      <w:tr>
        <w:tc>
          <w:tcPr/>
          <w:p>
            <w:pPr>
              <w:pStyle w:val="Compact"/>
            </w:pPr>
          </w:p>
        </w:tc>
        <w:tc>
          <w:tcPr/>
          <w:p>
            <w:pPr>
              <w:pStyle w:val="Compact"/>
              <w:jc w:val="left"/>
            </w:pPr>
            <w:r>
              <w:t xml:space="preserve">Minimum lot area (square feet)</w:t>
            </w:r>
          </w:p>
        </w:tc>
        <w:tc>
          <w:tcPr/>
          <w:p>
            <w:pPr>
              <w:pStyle w:val="Compact"/>
              <w:jc w:val="left"/>
            </w:pPr>
            <w:r>
              <w:t xml:space="preserve">40,000</w:t>
            </w:r>
            <w:r>
              <w:br/>
            </w:r>
            <w:r>
              <w:rPr>
                <w:vertAlign w:val="superscript"/>
              </w:rPr>
              <w:t xml:space="preserve">1</w:t>
            </w:r>
          </w:p>
        </w:tc>
        <w:tc>
          <w:tcPr/>
          <w:p>
            <w:pPr>
              <w:pStyle w:val="Compact"/>
              <w:jc w:val="left"/>
            </w:pPr>
            <w:r>
              <w:t xml:space="preserve">40,000</w:t>
            </w:r>
          </w:p>
        </w:tc>
        <w:tc>
          <w:tcPr/>
          <w:p>
            <w:pPr>
              <w:pStyle w:val="Compact"/>
              <w:jc w:val="left"/>
            </w:pPr>
            <w:r>
              <w:t xml:space="preserve">40,000</w:t>
            </w:r>
          </w:p>
        </w:tc>
        <w:tc>
          <w:tcPr/>
          <w:p>
            <w:pPr>
              <w:pStyle w:val="Compact"/>
              <w:jc w:val="left"/>
            </w:pPr>
            <w:r>
              <w:t xml:space="preserve">40,000</w:t>
            </w:r>
          </w:p>
        </w:tc>
      </w:tr>
      <w:tr>
        <w:tc>
          <w:tcPr/>
          <w:p>
            <w:pPr>
              <w:pStyle w:val="Compact"/>
            </w:pPr>
          </w:p>
        </w:tc>
        <w:tc>
          <w:tcPr/>
          <w:p>
            <w:pPr>
              <w:pStyle w:val="Compact"/>
              <w:jc w:val="left"/>
            </w:pPr>
            <w:r>
              <w:t xml:space="preserve">Minimum lot width (feet)</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r>
      <w:tr>
        <w:tc>
          <w:tcPr/>
          <w:p>
            <w:pPr>
              <w:pStyle w:val="Compact"/>
            </w:pPr>
          </w:p>
        </w:tc>
        <w:tc>
          <w:tcPr/>
          <w:p>
            <w:pPr>
              <w:pStyle w:val="Compact"/>
              <w:jc w:val="left"/>
            </w:pPr>
            <w:r>
              <w:t xml:space="preserve">Minimum frontage (feet)</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r>
      <w:tr>
        <w:tc>
          <w:tcPr/>
          <w:p>
            <w:pPr>
              <w:pStyle w:val="Compact"/>
            </w:pPr>
          </w:p>
        </w:tc>
        <w:tc>
          <w:tcPr/>
          <w:p>
            <w:pPr>
              <w:pStyle w:val="Compact"/>
              <w:jc w:val="left"/>
            </w:pPr>
            <w:r>
              <w:t xml:space="preserve">Minimum front yard</w:t>
            </w:r>
            <w:r>
              <w:br/>
            </w:r>
            <w:r>
              <w:rPr>
                <w:vertAlign w:val="superscript"/>
              </w:rPr>
              <w:t xml:space="preserve">2</w:t>
            </w:r>
            <w:r>
              <w:br/>
            </w:r>
            <w:r>
              <w:t xml:space="preserve">(feet)</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Minimum side yard (feet)</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rear yard (feet)</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Maximum lot coverage</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60%</w:t>
            </w:r>
          </w:p>
        </w:tc>
      </w:tr>
      <w:tr>
        <w:tc>
          <w:tcPr/>
          <w:p>
            <w:pPr>
              <w:pStyle w:val="Compact"/>
            </w:pPr>
          </w:p>
        </w:tc>
        <w:tc>
          <w:tcPr/>
          <w:p>
            <w:pPr>
              <w:pStyle w:val="Compact"/>
              <w:jc w:val="left"/>
            </w:pPr>
            <w:r>
              <w:t xml:space="preserve">Maximum height (feet)</w:t>
            </w:r>
          </w:p>
        </w:tc>
        <w:tc>
          <w:tcPr/>
          <w:p>
            <w:pPr>
              <w:pStyle w:val="Compact"/>
              <w:jc w:val="left"/>
            </w:pPr>
            <w:r>
              <w:t xml:space="preserve">45</w:t>
            </w:r>
          </w:p>
        </w:tc>
        <w:tc>
          <w:tcPr/>
          <w:p>
            <w:pPr>
              <w:pStyle w:val="Compact"/>
              <w:jc w:val="left"/>
            </w:pPr>
            <w:r>
              <w:t xml:space="preserve">45</w:t>
            </w:r>
          </w:p>
        </w:tc>
        <w:tc>
          <w:tcPr/>
          <w:p>
            <w:pPr>
              <w:pStyle w:val="Compact"/>
              <w:jc w:val="left"/>
            </w:pPr>
            <w:r>
              <w:t xml:space="preserve">75</w:t>
            </w:r>
          </w:p>
        </w:tc>
        <w:tc>
          <w:tcPr/>
          <w:p>
            <w:pPr>
              <w:pStyle w:val="Compact"/>
              <w:jc w:val="left"/>
            </w:pPr>
            <w:r>
              <w:t xml:space="preserve">75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The applicable residential density for mixed-use residential development shall be one unit per 5,000 square feet for land serviced by public sewers and 1 unit per every 7,000 square feet of land suitable for development for land not serviced by public sewers.</w:t>
            </w:r>
          </w:p>
        </w:tc>
      </w:tr>
      <w:tr>
        <w:tc>
          <w:tcPr/>
          <w:p>
            <w:pPr>
              <w:pStyle w:val="Compact"/>
            </w:pPr>
          </w:p>
        </w:tc>
        <w:tc>
          <w:tcPr/>
          <w:p>
            <w:pPr>
              <w:pStyle w:val="Compact"/>
              <w:jc w:val="left"/>
            </w:pPr>
            <w:r>
              <w:rPr>
                <w:vertAlign w:val="superscript"/>
              </w:rPr>
              <w:t xml:space="preserve">2</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p>
      <w:pPr>
        <w:pStyle w:val="Compact"/>
        <w:numPr>
          <w:ilvl w:val="0"/>
          <w:numId w:val="1030"/>
        </w:numPr>
      </w:pPr>
      <w:r>
        <w:t xml:space="preserve">(c) Dimensional regulations for areas with both water facilities and public sewers.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pPr>
          </w:p>
        </w:tc>
        <w:tc>
          <w:tcPr/>
          <w:p>
            <w:pPr>
              <w:pStyle w:val="Compact"/>
              <w:jc w:val="left"/>
            </w:pPr>
            <w:r>
              <w:rPr>
                <w:b/>
                <w:bCs/>
              </w:rPr>
              <w:t xml:space="preserve">C-1</w:t>
            </w:r>
          </w:p>
        </w:tc>
        <w:tc>
          <w:tcPr/>
          <w:p>
            <w:pPr>
              <w:pStyle w:val="Compact"/>
              <w:jc w:val="left"/>
            </w:pPr>
            <w:r>
              <w:rPr>
                <w:b/>
                <w:bCs/>
              </w:rPr>
              <w:t xml:space="preserve">C-2</w:t>
            </w:r>
          </w:p>
        </w:tc>
        <w:tc>
          <w:tcPr/>
          <w:p>
            <w:pPr>
              <w:pStyle w:val="Compact"/>
              <w:jc w:val="left"/>
            </w:pPr>
            <w:r>
              <w:rPr>
                <w:b/>
                <w:bCs/>
              </w:rPr>
              <w:t xml:space="preserve">I-1</w:t>
            </w:r>
          </w:p>
        </w:tc>
        <w:tc>
          <w:tcPr/>
          <w:p>
            <w:pPr>
              <w:pStyle w:val="Compact"/>
              <w:jc w:val="left"/>
            </w:pPr>
            <w:r>
              <w:rPr>
                <w:b/>
                <w:bCs/>
              </w:rPr>
              <w:t xml:space="preserve">I-2</w:t>
            </w:r>
          </w:p>
        </w:tc>
      </w:tr>
      <w:tr>
        <w:tc>
          <w:tcPr/>
          <w:p>
            <w:pPr>
              <w:pStyle w:val="Compact"/>
            </w:pPr>
          </w:p>
        </w:tc>
        <w:tc>
          <w:tcPr/>
          <w:p>
            <w:pPr>
              <w:pStyle w:val="Compact"/>
              <w:jc w:val="left"/>
            </w:pPr>
            <w:r>
              <w:t xml:space="preserve">Minimum lot area (square feet)</w:t>
            </w:r>
          </w:p>
        </w:tc>
        <w:tc>
          <w:tcPr/>
          <w:p>
            <w:pPr>
              <w:pStyle w:val="Compact"/>
              <w:jc w:val="left"/>
            </w:pPr>
            <w:r>
              <w:t xml:space="preserve">5,000</w:t>
            </w:r>
            <w:r>
              <w:br/>
            </w:r>
            <w:r>
              <w:rPr>
                <w:vertAlign w:val="superscript"/>
              </w:rPr>
              <w:t xml:space="preserve">1</w:t>
            </w:r>
          </w:p>
        </w:tc>
        <w:tc>
          <w:tcPr/>
          <w:p>
            <w:pPr>
              <w:pStyle w:val="Compact"/>
              <w:jc w:val="left"/>
            </w:pPr>
            <w:r>
              <w:t xml:space="preserve">5,000</w:t>
            </w:r>
          </w:p>
        </w:tc>
        <w:tc>
          <w:tcPr/>
          <w:p>
            <w:pPr>
              <w:pStyle w:val="Compact"/>
              <w:jc w:val="left"/>
            </w:pPr>
            <w:r>
              <w:t xml:space="preserve">5,000</w:t>
            </w:r>
          </w:p>
        </w:tc>
        <w:tc>
          <w:tcPr/>
          <w:p>
            <w:pPr>
              <w:pStyle w:val="Compact"/>
              <w:jc w:val="left"/>
            </w:pPr>
            <w:r>
              <w:t xml:space="preserve">5,000</w:t>
            </w:r>
          </w:p>
        </w:tc>
      </w:tr>
      <w:tr>
        <w:tc>
          <w:tcPr/>
          <w:p>
            <w:pPr>
              <w:pStyle w:val="Compact"/>
            </w:pPr>
          </w:p>
        </w:tc>
        <w:tc>
          <w:tcPr/>
          <w:p>
            <w:pPr>
              <w:pStyle w:val="Compact"/>
              <w:jc w:val="left"/>
            </w:pPr>
            <w:r>
              <w:t xml:space="preserve">Minimum lot width (feet)</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r>
      <w:tr>
        <w:tc>
          <w:tcPr/>
          <w:p>
            <w:pPr>
              <w:pStyle w:val="Compact"/>
            </w:pPr>
          </w:p>
        </w:tc>
        <w:tc>
          <w:tcPr/>
          <w:p>
            <w:pPr>
              <w:pStyle w:val="Compact"/>
              <w:jc w:val="left"/>
            </w:pPr>
            <w:r>
              <w:t xml:space="preserve">Minimum frontage (feet)</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r>
      <w:tr>
        <w:tc>
          <w:tcPr/>
          <w:p>
            <w:pPr>
              <w:pStyle w:val="Compact"/>
            </w:pPr>
          </w:p>
        </w:tc>
        <w:tc>
          <w:tcPr/>
          <w:p>
            <w:pPr>
              <w:pStyle w:val="Compact"/>
              <w:jc w:val="left"/>
            </w:pPr>
            <w:r>
              <w:t xml:space="preserve">Minimum front yard</w:t>
            </w:r>
            <w:r>
              <w:br/>
            </w:r>
            <w:r>
              <w:rPr>
                <w:vertAlign w:val="superscript"/>
              </w:rPr>
              <w:t xml:space="preserve">2</w:t>
            </w:r>
            <w:r>
              <w:br/>
            </w:r>
            <w:r>
              <w:t xml:space="preserve">(feet)</w:t>
            </w:r>
          </w:p>
        </w:tc>
        <w:tc>
          <w:tcPr/>
          <w:p>
            <w:pPr>
              <w:pStyle w:val="Compact"/>
              <w:jc w:val="left"/>
            </w:pPr>
            <w:r>
              <w:t xml:space="preserve">15</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side yard (feet)</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rear yard (feet)</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Maximum lot coverage</w:t>
            </w:r>
          </w:p>
        </w:tc>
        <w:tc>
          <w:tcPr/>
          <w:p>
            <w:pPr>
              <w:pStyle w:val="Compact"/>
              <w:jc w:val="left"/>
            </w:pPr>
            <w:r>
              <w:t xml:space="preserve">40%</w:t>
            </w:r>
          </w:p>
        </w:tc>
        <w:tc>
          <w:tcPr/>
          <w:p>
            <w:pPr>
              <w:pStyle w:val="Compact"/>
              <w:jc w:val="left"/>
            </w:pPr>
            <w:r>
              <w:t xml:space="preserve">50%</w:t>
            </w:r>
          </w:p>
        </w:tc>
        <w:tc>
          <w:tcPr/>
          <w:p>
            <w:pPr>
              <w:pStyle w:val="Compact"/>
              <w:jc w:val="left"/>
            </w:pPr>
            <w:r>
              <w:t xml:space="preserve">80%</w:t>
            </w:r>
          </w:p>
        </w:tc>
        <w:tc>
          <w:tcPr/>
          <w:p>
            <w:pPr>
              <w:pStyle w:val="Compact"/>
              <w:jc w:val="left"/>
            </w:pPr>
            <w:r>
              <w:t xml:space="preserve">80%</w:t>
            </w:r>
          </w:p>
        </w:tc>
      </w:tr>
      <w:tr>
        <w:tc>
          <w:tcPr/>
          <w:p>
            <w:pPr>
              <w:pStyle w:val="Compact"/>
            </w:pPr>
          </w:p>
        </w:tc>
        <w:tc>
          <w:tcPr/>
          <w:p>
            <w:pPr>
              <w:pStyle w:val="Compact"/>
              <w:jc w:val="left"/>
            </w:pPr>
            <w:r>
              <w:t xml:space="preserve">Maximum height (feet)</w:t>
            </w:r>
          </w:p>
        </w:tc>
        <w:tc>
          <w:tcPr/>
          <w:p>
            <w:pPr>
              <w:pStyle w:val="Compact"/>
              <w:jc w:val="left"/>
            </w:pPr>
            <w:r>
              <w:t xml:space="preserve">45</w:t>
            </w:r>
          </w:p>
        </w:tc>
        <w:tc>
          <w:tcPr/>
          <w:p>
            <w:pPr>
              <w:pStyle w:val="Compact"/>
              <w:jc w:val="left"/>
            </w:pPr>
            <w:r>
              <w:t xml:space="preserve">45</w:t>
            </w:r>
          </w:p>
        </w:tc>
        <w:tc>
          <w:tcPr/>
          <w:p>
            <w:pPr>
              <w:pStyle w:val="Compact"/>
              <w:jc w:val="left"/>
            </w:pPr>
            <w:r>
              <w:t xml:space="preserve">75</w:t>
            </w:r>
          </w:p>
        </w:tc>
        <w:tc>
          <w:tcPr/>
          <w:p>
            <w:pPr>
              <w:pStyle w:val="Compact"/>
              <w:jc w:val="left"/>
            </w:pPr>
            <w:r>
              <w:t xml:space="preserve">75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The applicable residential density for mixed-use residential development shall be one unit per 5,000 square feet of land area.</w:t>
            </w:r>
          </w:p>
        </w:tc>
      </w:tr>
      <w:tr>
        <w:tc>
          <w:tcPr/>
          <w:p>
            <w:pPr>
              <w:pStyle w:val="Compact"/>
            </w:pPr>
          </w:p>
        </w:tc>
        <w:tc>
          <w:tcPr/>
          <w:p>
            <w:pPr>
              <w:pStyle w:val="Compact"/>
              <w:jc w:val="left"/>
            </w:pPr>
            <w:r>
              <w:rPr>
                <w:vertAlign w:val="superscript"/>
              </w:rPr>
              <w:t xml:space="preserve">2</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bookmarkEnd w:id="45"/>
    <w:bookmarkStart w:id="46" w:name="minimum-front-yard-reductions"/>
    <w:p>
      <w:pPr>
        <w:pStyle w:val="Heading2"/>
      </w:pPr>
      <w:r>
        <w:t xml:space="preserve">§ 5-4. Minimum front yard reductions</w:t>
      </w:r>
    </w:p>
    <w:p>
      <w:pPr>
        <w:pStyle w:val="FirstParagraph"/>
      </w:pPr>
      <w:r>
        <w:rPr>
          <w:i/>
          <w:iCs/>
        </w:rPr>
        <w:t xml:space="preserve">[Ord. No. 08-31, 10-7-2009]</w:t>
      </w:r>
    </w:p>
    <w:p>
      <w:pPr>
        <w:pStyle w:val="Compact"/>
        <w:numPr>
          <w:ilvl w:val="0"/>
          <w:numId w:val="1031"/>
        </w:numPr>
      </w:pPr>
      <w:r>
        <w:t xml:space="preserve">(a) Where new development is occurring in an area which is principally built, a reduction in the minimum required front yards is allowed under the provisions of this section. A principally built area is defined as having principal buildings on 2/3 or more of all lots within 500 feet in A zones, and 300 feet in R, C and I zones, as measured along the street line, in both directions from the center of the lot in question. The Building Official shall undertake the necessary calculation to determine whether an area is principally built.</w:t>
      </w:r>
    </w:p>
    <w:p>
      <w:pPr>
        <w:pStyle w:val="Compact"/>
        <w:numPr>
          <w:ilvl w:val="0"/>
          <w:numId w:val="1031"/>
        </w:numPr>
      </w:pPr>
      <w:r>
        <w:t xml:space="preserve">(b) In any zoning district, regardless of the availability of water or sewer, the minimum required front yard shall be reduced to that equal to the average distance from the principal buildings to the front lot lines of all those developed lots within the defined built area. If the resulting average distance exceeds the minimum front yard as contained in the applicable section of the dimensional tables, the front yard requirement in the table shall apply.</w:t>
      </w:r>
    </w:p>
    <w:bookmarkEnd w:id="46"/>
    <w:bookmarkStart w:id="47" w:name="X7ba31f28c74bcf9d7752e05a2bf1d157222817c"/>
    <w:p>
      <w:pPr>
        <w:pStyle w:val="Heading2"/>
      </w:pPr>
      <w:r>
        <w:t xml:space="preserve">§ 5-5. Dimensional requirements for multiple residential structures</w:t>
      </w:r>
    </w:p>
    <w:p>
      <w:pPr>
        <w:pStyle w:val="FirstParagraph"/>
      </w:pPr>
      <w:r>
        <w:rPr>
          <w:i/>
          <w:iCs/>
        </w:rPr>
        <w:t xml:space="preserve">[Ord. No. 08-31, 10-7-2009]</w:t>
      </w:r>
    </w:p>
    <w:p>
      <w:pPr>
        <w:pStyle w:val="BodyText"/>
      </w:pPr>
      <w:r>
        <w:t xml:space="preserve">In cases where more than one residential structure is constructed on a lot or lots under common ownership, such as single-family attached units (townhouses) within a mixed-use special district (see Article 9) or a conservation development (see Article 11), or multifamily dwellings as permitted in the R-3 zone, the following internal dimensional regulations shall apply:</w:t>
      </w:r>
    </w:p>
    <w:p>
      <w:pPr>
        <w:pStyle w:val="Compact"/>
        <w:numPr>
          <w:ilvl w:val="0"/>
          <w:numId w:val="1032"/>
        </w:numPr>
      </w:pPr>
      <w:r>
        <w:t xml:space="preserve">(a) For structures containing two dwelling units (townhouse or duplex), the minimum distance between two principal buildings shall be 30 feet, except where buildings are separated by opposing walls without windows or attached garage walls, in which case the minimum separation may be 20 feet.</w:t>
      </w:r>
    </w:p>
    <w:p>
      <w:pPr>
        <w:pStyle w:val="Compact"/>
        <w:numPr>
          <w:ilvl w:val="0"/>
          <w:numId w:val="1032"/>
        </w:numPr>
      </w:pPr>
      <w:r>
        <w:t xml:space="preserve">(b) For structures containing more than two dwelling units (townhouse units or an apartment building), the minimum distance between two principal buildings shall be 45 feet, except where buildings are separated by opposing walls without windows or attached garage walls, in which case the minimum separation may be 35 feet.</w:t>
      </w:r>
    </w:p>
    <w:p>
      <w:pPr>
        <w:pStyle w:val="Compact"/>
        <w:numPr>
          <w:ilvl w:val="0"/>
          <w:numId w:val="1032"/>
        </w:numPr>
      </w:pPr>
      <w:r>
        <w:t xml:space="preserve">(c) The minimum distance between accessory structures and any other accessory or principal structure shall be 12 feet.</w:t>
      </w:r>
    </w:p>
    <w:bookmarkEnd w:id="47"/>
    <w:bookmarkStart w:id="48" w:name="X5a675dc96eefbb1c3455d7fc7e1236601fc1a35"/>
    <w:p>
      <w:pPr>
        <w:pStyle w:val="Heading2"/>
      </w:pPr>
      <w:r>
        <w:t xml:space="preserve">§ 5-6. Dimensional requirements for conservation developments</w:t>
      </w:r>
    </w:p>
    <w:p>
      <w:pPr>
        <w:pStyle w:val="FirstParagraph"/>
      </w:pPr>
      <w:r>
        <w:rPr>
          <w:i/>
          <w:iCs/>
        </w:rPr>
        <w:t xml:space="preserve">[Ord. No. 08-31, 10-7-2009]</w:t>
      </w:r>
    </w:p>
    <w:p>
      <w:pPr>
        <w:pStyle w:val="BodyText"/>
      </w:pPr>
      <w:r>
        <w:t xml:space="preserve">For a proposed conservation development submitted under the provisions of Article 11 of this appendix and reviewed under the provisions of the land development and subdivision regulations, alternative lot dimensional requirements shall apply; see §§ 11-5 and 11-6.</w:t>
      </w:r>
    </w:p>
    <w:bookmarkEnd w:id="48"/>
    <w:bookmarkStart w:id="49" w:name="height-modifications"/>
    <w:p>
      <w:pPr>
        <w:pStyle w:val="Heading2"/>
      </w:pPr>
      <w:r>
        <w:t xml:space="preserve">§ 5-7. Height modifications</w:t>
      </w:r>
    </w:p>
    <w:p>
      <w:pPr>
        <w:pStyle w:val="FirstParagraph"/>
      </w:pPr>
      <w:r>
        <w:rPr>
          <w:i/>
          <w:iCs/>
        </w:rPr>
        <w:t xml:space="preserve">[Ord. No. 08-31, 10-7-2009]</w:t>
      </w:r>
    </w:p>
    <w:p>
      <w:pPr>
        <w:pStyle w:val="Compact"/>
        <w:numPr>
          <w:ilvl w:val="0"/>
          <w:numId w:val="1033"/>
        </w:numPr>
      </w:pPr>
      <w:r>
        <w:t xml:space="preserve">(a) Roof structures permitted above maximum height.</w:t>
      </w:r>
    </w:p>
    <w:p>
      <w:pPr>
        <w:pStyle w:val="Compact"/>
        <w:numPr>
          <w:ilvl w:val="1"/>
          <w:numId w:val="1034"/>
        </w:numPr>
      </w:pPr>
      <w:r>
        <w:t xml:space="preserve">(1) The following ornamental accessory roof structures are permitted above the maximum height as specified in this appendix, provided that the total area of all such appurtenances is not more than 1/3 of the total roof area of the building:</w:t>
      </w:r>
    </w:p>
    <w:p>
      <w:pPr>
        <w:pStyle w:val="Compact"/>
        <w:numPr>
          <w:ilvl w:val="2"/>
          <w:numId w:val="1035"/>
        </w:numPr>
      </w:pPr>
      <w:r>
        <w:t xml:space="preserve">a. Fire or parapet walls;</w:t>
      </w:r>
    </w:p>
    <w:p>
      <w:pPr>
        <w:pStyle w:val="Compact"/>
        <w:numPr>
          <w:ilvl w:val="2"/>
          <w:numId w:val="1035"/>
        </w:numPr>
      </w:pPr>
      <w:r>
        <w:t xml:space="preserve">b. Skylights;</w:t>
      </w:r>
    </w:p>
    <w:p>
      <w:pPr>
        <w:pStyle w:val="Compact"/>
        <w:numPr>
          <w:ilvl w:val="2"/>
          <w:numId w:val="1035"/>
        </w:numPr>
      </w:pPr>
      <w:r>
        <w:t xml:space="preserve">c. Towers;</w:t>
      </w:r>
    </w:p>
    <w:p>
      <w:pPr>
        <w:pStyle w:val="Compact"/>
        <w:numPr>
          <w:ilvl w:val="2"/>
          <w:numId w:val="1035"/>
        </w:numPr>
      </w:pPr>
      <w:r>
        <w:t xml:space="preserve">d. Steeples; and</w:t>
      </w:r>
    </w:p>
    <w:p>
      <w:pPr>
        <w:pStyle w:val="Compact"/>
        <w:numPr>
          <w:ilvl w:val="2"/>
          <w:numId w:val="1035"/>
        </w:numPr>
      </w:pPr>
      <w:r>
        <w:t xml:space="preserve">e. Roof-mounted flag poles.</w:t>
      </w:r>
    </w:p>
    <w:p>
      <w:pPr>
        <w:pStyle w:val="Compact"/>
        <w:numPr>
          <w:ilvl w:val="1"/>
          <w:numId w:val="1034"/>
        </w:numPr>
      </w:pPr>
      <w:r>
        <w:t xml:space="preserve">(2) The following roof structures are permitted above the maximum height as specified in this appendix, provided that the total area of all such appurtenances is not more than 1/3 of the total roof area of the building, and provided that such features shall be set back from the edge of the roof a minimum distance of one foot for every two feet by which they extend above the roof:</w:t>
      </w:r>
    </w:p>
    <w:p>
      <w:pPr>
        <w:pStyle w:val="Compact"/>
        <w:numPr>
          <w:ilvl w:val="2"/>
          <w:numId w:val="1036"/>
        </w:numPr>
      </w:pPr>
      <w:r>
        <w:t xml:space="preserve">a. Structures for the housing of elevators and elevator shafts;</w:t>
      </w:r>
    </w:p>
    <w:p>
      <w:pPr>
        <w:pStyle w:val="Compact"/>
        <w:numPr>
          <w:ilvl w:val="2"/>
          <w:numId w:val="1036"/>
        </w:numPr>
      </w:pPr>
      <w:r>
        <w:t xml:space="preserve">b. Stairways;</w:t>
      </w:r>
    </w:p>
    <w:p>
      <w:pPr>
        <w:pStyle w:val="Compact"/>
        <w:numPr>
          <w:ilvl w:val="2"/>
          <w:numId w:val="1036"/>
        </w:numPr>
      </w:pPr>
      <w:r>
        <w:t xml:space="preserve">c. Heating and air conditioning equipment;</w:t>
      </w:r>
    </w:p>
    <w:p>
      <w:pPr>
        <w:pStyle w:val="Compact"/>
        <w:numPr>
          <w:ilvl w:val="2"/>
          <w:numId w:val="1036"/>
        </w:numPr>
      </w:pPr>
      <w:r>
        <w:t xml:space="preserve">d. Ventilating fans;</w:t>
      </w:r>
    </w:p>
    <w:p>
      <w:pPr>
        <w:pStyle w:val="Compact"/>
        <w:numPr>
          <w:ilvl w:val="2"/>
          <w:numId w:val="1036"/>
        </w:numPr>
      </w:pPr>
      <w:r>
        <w:t xml:space="preserve">e. Solar collectors;</w:t>
      </w:r>
    </w:p>
    <w:p>
      <w:pPr>
        <w:pStyle w:val="Compact"/>
        <w:numPr>
          <w:ilvl w:val="2"/>
          <w:numId w:val="1036"/>
        </w:numPr>
      </w:pPr>
      <w:r>
        <w:t xml:space="preserve">f. Storage tanks for water;</w:t>
      </w:r>
    </w:p>
    <w:p>
      <w:pPr>
        <w:pStyle w:val="Compact"/>
        <w:numPr>
          <w:ilvl w:val="2"/>
          <w:numId w:val="1036"/>
        </w:numPr>
      </w:pPr>
      <w:r>
        <w:t xml:space="preserve">g. Television, radio or satellite dish antennae or masts;</w:t>
      </w:r>
    </w:p>
    <w:p>
      <w:pPr>
        <w:pStyle w:val="Compact"/>
        <w:numPr>
          <w:ilvl w:val="2"/>
          <w:numId w:val="1036"/>
        </w:numPr>
      </w:pPr>
      <w:r>
        <w:t xml:space="preserve">h. Chimneys or roof-mounted smokestacks; and</w:t>
      </w:r>
    </w:p>
    <w:p>
      <w:pPr>
        <w:pStyle w:val="Compact"/>
        <w:numPr>
          <w:ilvl w:val="2"/>
          <w:numId w:val="1036"/>
        </w:numPr>
      </w:pPr>
      <w:r>
        <w:t xml:space="preserve">i. Similar equipment required to operate and maintain a building.</w:t>
      </w:r>
    </w:p>
    <w:p>
      <w:pPr>
        <w:pStyle w:val="Compact"/>
        <w:numPr>
          <w:ilvl w:val="1"/>
          <w:numId w:val="1034"/>
        </w:numPr>
      </w:pPr>
      <w:r>
        <w:t xml:space="preserve">(3) No such roof structure as set forth in this subsection shall exceed the maximum height for the zone in which it is located, except by the amounts allowed herein:</w:t>
      </w:r>
    </w:p>
    <w:p>
      <w:pPr>
        <w:pStyle w:val="Compact"/>
        <w:numPr>
          <w:ilvl w:val="2"/>
          <w:numId w:val="1037"/>
        </w:numPr>
      </w:pPr>
      <w:r>
        <w:t xml:space="preserve">a. Buildings from one to six stories: 10 feet.</w:t>
      </w:r>
    </w:p>
    <w:p>
      <w:pPr>
        <w:pStyle w:val="Compact"/>
        <w:numPr>
          <w:ilvl w:val="2"/>
          <w:numId w:val="1037"/>
        </w:numPr>
      </w:pPr>
      <w:r>
        <w:t xml:space="preserve">b. Buildings exceeding six stories: 10 feet plus one foot per story above the 6th story to a maximum total of 20 feet.</w:t>
      </w:r>
    </w:p>
    <w:p>
      <w:pPr>
        <w:pStyle w:val="Compact"/>
        <w:numPr>
          <w:ilvl w:val="0"/>
          <w:numId w:val="1033"/>
        </w:numPr>
      </w:pPr>
      <w:r>
        <w:t xml:space="preserve">(b) Height restrictions for freestanding structures.</w:t>
      </w:r>
    </w:p>
    <w:p>
      <w:pPr>
        <w:pStyle w:val="Compact"/>
        <w:numPr>
          <w:ilvl w:val="1"/>
          <w:numId w:val="1038"/>
        </w:numPr>
      </w:pPr>
      <w:r>
        <w:t xml:space="preserve">(1) Freestanding flagpoles shall not exceed the following:</w:t>
      </w:r>
    </w:p>
    <w:p>
      <w:pPr>
        <w:pStyle w:val="Compact"/>
        <w:numPr>
          <w:ilvl w:val="2"/>
          <w:numId w:val="1039"/>
        </w:numPr>
      </w:pPr>
      <w:r>
        <w:t xml:space="preserve">a. A and R zones — The height of any existing permitted principal building on a lot.</w:t>
      </w:r>
    </w:p>
    <w:p>
      <w:pPr>
        <w:pStyle w:val="Compact"/>
        <w:numPr>
          <w:ilvl w:val="2"/>
          <w:numId w:val="1039"/>
        </w:numPr>
      </w:pPr>
      <w:r>
        <w:t xml:space="preserve">b. C and I zones — A height of 10 feet over any existing principal building on a lot.</w:t>
      </w:r>
    </w:p>
    <w:p>
      <w:pPr>
        <w:pStyle w:val="Compact"/>
        <w:numPr>
          <w:ilvl w:val="1"/>
          <w:numId w:val="1038"/>
        </w:numPr>
      </w:pPr>
      <w:r>
        <w:t xml:space="preserve">(2) Freestanding smokestacks shall not exceed the following:</w:t>
      </w:r>
    </w:p>
    <w:p>
      <w:pPr>
        <w:pStyle w:val="Compact"/>
        <w:numPr>
          <w:ilvl w:val="2"/>
          <w:numId w:val="1040"/>
        </w:numPr>
      </w:pPr>
      <w:r>
        <w:t xml:space="preserve">a. Vacant lots — Freestanding smokestacks shall not be permitted.</w:t>
      </w:r>
    </w:p>
    <w:p>
      <w:pPr>
        <w:pStyle w:val="Compact"/>
        <w:numPr>
          <w:ilvl w:val="2"/>
          <w:numId w:val="1040"/>
        </w:numPr>
      </w:pPr>
      <w:r>
        <w:t xml:space="preserve">b. A and R zones — Freestanding smokestacks shall not be permitted.</w:t>
      </w:r>
    </w:p>
    <w:p>
      <w:pPr>
        <w:pStyle w:val="Compact"/>
        <w:numPr>
          <w:ilvl w:val="2"/>
          <w:numId w:val="1040"/>
        </w:numPr>
      </w:pPr>
      <w:r>
        <w:t xml:space="preserve">c. C zones — Freestanding smokestacks shall not exceed a height of 40 feet over any permitted principal building on the lot.</w:t>
      </w:r>
    </w:p>
    <w:p>
      <w:pPr>
        <w:pStyle w:val="Compact"/>
        <w:numPr>
          <w:ilvl w:val="2"/>
          <w:numId w:val="1040"/>
        </w:numPr>
      </w:pPr>
      <w:r>
        <w:t xml:space="preserve">d. I zones — Freestanding smokestacks shall not exceed a height of 100 feet over any permitted principal building on the lot.</w:t>
      </w:r>
    </w:p>
    <w:p>
      <w:pPr>
        <w:pStyle w:val="Compact"/>
        <w:numPr>
          <w:ilvl w:val="0"/>
          <w:numId w:val="1033"/>
        </w:numPr>
      </w:pPr>
      <w:r>
        <w:t xml:space="preserve">(c) Height restrictions for silos. Silos used for agricultural purposes, whether attached or freestanding, shall not exceed 75 feet in height.</w:t>
      </w:r>
    </w:p>
    <w:p>
      <w:pPr>
        <w:pStyle w:val="Compact"/>
        <w:numPr>
          <w:ilvl w:val="0"/>
          <w:numId w:val="1033"/>
        </w:numPr>
      </w:pPr>
      <w:r>
        <w:t xml:space="preserve">(d) Communication towers exempt. Communication towers are exempt from the height restrictions of this article, but shall be subject to the provisions of § 6-13.</w:t>
      </w:r>
    </w:p>
    <w:bookmarkEnd w:id="49"/>
    <w:bookmarkStart w:id="50" w:name="land-unsuitable-for-development"/>
    <w:p>
      <w:pPr>
        <w:pStyle w:val="Heading2"/>
      </w:pPr>
      <w:r>
        <w:t xml:space="preserve">§ 5-8. Land unsuitable for development</w:t>
      </w:r>
    </w:p>
    <w:p>
      <w:pPr>
        <w:pStyle w:val="FirstParagraph"/>
      </w:pPr>
      <w:r>
        <w:rPr>
          <w:i/>
          <w:iCs/>
        </w:rPr>
        <w:t xml:space="preserve">[Ord. No. 08-31, 10-7-2009]</w:t>
      </w:r>
    </w:p>
    <w:p>
      <w:pPr>
        <w:pStyle w:val="BodyText"/>
      </w:pPr>
      <w:r>
        <w:t xml:space="preserve">When determining lot coverage, or when calculating the number of residential building lots or dwelling units permitted on any parcel, or the allowable maximum number of dwelling units for a conservation development (see Article 11), land unsuitable for development shall not be included in the total parcel area from which the calculations are based.</w:t>
      </w:r>
    </w:p>
    <w:p>
      <w:pPr>
        <w:pStyle w:val="BodyText"/>
      </w:pPr>
      <w:r>
        <w:t xml:space="preserve">Land unsuitable for development is land which has severe or very severe limitations for development. The following regulations shall apply:</w:t>
      </w:r>
    </w:p>
    <w:p>
      <w:pPr>
        <w:pStyle w:val="Compact"/>
        <w:numPr>
          <w:ilvl w:val="0"/>
          <w:numId w:val="1041"/>
        </w:numPr>
      </w:pPr>
      <w:r>
        <w:t xml:space="preserve">(a) Developments serviced by sewers. In areas serviced by sewers, land included in all of the following categories shall be considered unsuitable for development:</w:t>
      </w:r>
    </w:p>
    <w:p>
      <w:pPr>
        <w:pStyle w:val="Compact"/>
        <w:numPr>
          <w:ilvl w:val="1"/>
          <w:numId w:val="1042"/>
        </w:numPr>
      </w:pPr>
      <w:r>
        <w:t xml:space="preserve">(1) Fresh water wetlands, exclusive of areas of perimeter wetland within 50 feet of the edge of any bog, marsh, swamp, or pond, or any applicable one-hundred-foot or two-hundred-foot riverbank wetlands, as defined by G.L. § 2-1-20, as amended;</w:t>
      </w:r>
    </w:p>
    <w:p>
      <w:pPr>
        <w:pStyle w:val="Compact"/>
        <w:numPr>
          <w:ilvl w:val="1"/>
          <w:numId w:val="1042"/>
        </w:numPr>
      </w:pPr>
      <w:r>
        <w:t xml:space="preserve">(2) Areas within a one-hundred-year flood zone, as defined by the Federal Emergency Management Agency (FEMA);</w:t>
      </w:r>
    </w:p>
    <w:p>
      <w:pPr>
        <w:pStyle w:val="Compact"/>
        <w:numPr>
          <w:ilvl w:val="1"/>
          <w:numId w:val="1042"/>
        </w:numPr>
      </w:pPr>
      <w:r>
        <w:t xml:space="preserve">(3) Land within the right-of-way of any existing or proposed public or private street;</w:t>
      </w:r>
    </w:p>
    <w:p>
      <w:pPr>
        <w:pStyle w:val="Compact"/>
        <w:numPr>
          <w:ilvl w:val="1"/>
          <w:numId w:val="1042"/>
        </w:numPr>
      </w:pPr>
      <w:r>
        <w:t xml:space="preserve">(4) Land within any publicly or privately held easement on which aboveground utilities, including, but not limited to, electrical transmission lines, are constructed;</w:t>
      </w:r>
    </w:p>
    <w:p>
      <w:pPr>
        <w:pStyle w:val="Compact"/>
        <w:numPr>
          <w:ilvl w:val="1"/>
          <w:numId w:val="1042"/>
        </w:numPr>
      </w:pPr>
      <w:r>
        <w:t xml:space="preserve">(5) Areas with slopes in excess of 15% that are within the limit of disturbance of the development; and</w:t>
      </w:r>
    </w:p>
    <w:p>
      <w:pPr>
        <w:pStyle w:val="Compact"/>
        <w:numPr>
          <w:ilvl w:val="1"/>
          <w:numId w:val="1042"/>
        </w:numPr>
      </w:pPr>
      <w:r>
        <w:t xml:space="preserve">(6) Cemeteries.</w:t>
      </w:r>
    </w:p>
    <w:p>
      <w:pPr>
        <w:pStyle w:val="Compact"/>
        <w:numPr>
          <w:ilvl w:val="0"/>
          <w:numId w:val="1041"/>
        </w:numPr>
      </w:pPr>
      <w:r>
        <w:t xml:space="preserve">(b) Developments not serviced by sewers. In areas not serviced by public sewers, land included in all of the following categories shall be considered unsuitable for development:</w:t>
      </w:r>
    </w:p>
    <w:p>
      <w:pPr>
        <w:pStyle w:val="Compact"/>
        <w:numPr>
          <w:ilvl w:val="1"/>
          <w:numId w:val="1043"/>
        </w:numPr>
      </w:pPr>
      <w:r>
        <w:t xml:space="preserve">(1) Fresh water wetlands, including areas of perimeter wetland within 50 feet of the edge of any bog, marsh, swamp, or pond, and any applicable one-hundred-foot or two-hundred-foot riverbank wetlands, as defined by G.L. § 2-1-20, as amended;</w:t>
      </w:r>
    </w:p>
    <w:p>
      <w:pPr>
        <w:pStyle w:val="Compact"/>
        <w:numPr>
          <w:ilvl w:val="1"/>
          <w:numId w:val="1043"/>
        </w:numPr>
      </w:pPr>
      <w:r>
        <w:t xml:space="preserve">(2) Areas within a one-hundred-year flood zone, as defined by the Federal Emergency Management Agency (FEMA);</w:t>
      </w:r>
    </w:p>
    <w:p>
      <w:pPr>
        <w:pStyle w:val="Compact"/>
        <w:numPr>
          <w:ilvl w:val="1"/>
          <w:numId w:val="1043"/>
        </w:numPr>
      </w:pPr>
      <w:r>
        <w:t xml:space="preserve">(3) Land within the right-of-way of any existing or proposed public or private street;</w:t>
      </w:r>
    </w:p>
    <w:p>
      <w:pPr>
        <w:pStyle w:val="Compact"/>
        <w:numPr>
          <w:ilvl w:val="1"/>
          <w:numId w:val="1043"/>
        </w:numPr>
      </w:pPr>
      <w:r>
        <w:t xml:space="preserve">(4) Land within any publicly or privately held easement on which aboveground utilities, including, but not limited to, electrical transmission lines, are constructed;</w:t>
      </w:r>
    </w:p>
    <w:p>
      <w:pPr>
        <w:pStyle w:val="Compact"/>
        <w:numPr>
          <w:ilvl w:val="1"/>
          <w:numId w:val="1043"/>
        </w:numPr>
      </w:pPr>
      <w:r>
        <w:t xml:space="preserve">(5) Areas with slopes in excess of 15% that are within the limit of disturbance of the development; and</w:t>
      </w:r>
    </w:p>
    <w:p>
      <w:pPr>
        <w:pStyle w:val="Compact"/>
        <w:numPr>
          <w:ilvl w:val="1"/>
          <w:numId w:val="1043"/>
        </w:numPr>
      </w:pPr>
      <w:r>
        <w:t xml:space="preserve">(6) Cemeteries.</w:t>
      </w:r>
    </w:p>
    <w:p>
      <w:pPr>
        <w:pStyle w:val="Compact"/>
        <w:numPr>
          <w:ilvl w:val="0"/>
          <w:numId w:val="1041"/>
        </w:numPr>
      </w:pPr>
      <w:r>
        <w:t xml:space="preserve">(c) Substandard lots of record exempt. Lots of record which are substandard by area, are exempt from the provisions of this section when calculating allowable maximum lot coverage.</w:t>
      </w:r>
    </w:p>
    <w:bookmarkEnd w:id="50"/>
    <w:bookmarkStart w:id="51" w:name="supplementary-regulations"/>
    <w:p>
      <w:pPr>
        <w:pStyle w:val="Heading1"/>
      </w:pPr>
      <w:r>
        <w:t xml:space="preserve">§ 6. Supplementary Regulations</w:t>
      </w:r>
    </w:p>
    <w:bookmarkEnd w:id="51"/>
    <w:bookmarkStart w:id="52" w:name="purpose"/>
    <w:p>
      <w:pPr>
        <w:pStyle w:val="Heading2"/>
      </w:pPr>
      <w:r>
        <w:t xml:space="preserve">§ 6-1. Purpose</w:t>
      </w:r>
    </w:p>
    <w:p>
      <w:pPr>
        <w:pStyle w:val="FirstParagraph"/>
      </w:pPr>
      <w:r>
        <w:rPr>
          <w:i/>
          <w:iCs/>
        </w:rPr>
        <w:t xml:space="preserve">[Ord. No. 08-31, 10-7-2009]</w:t>
      </w:r>
    </w:p>
    <w:p>
      <w:pPr>
        <w:pStyle w:val="BodyText"/>
      </w:pPr>
      <w:r>
        <w:t xml:space="preserve">The purpose of supplementary regulations is to set specific conditions and dimensional criteria for various uses or areas, where the general regulations are not applicable and to set specific standards for the granting of special use permits.</w:t>
      </w:r>
    </w:p>
    <w:bookmarkEnd w:id="52"/>
    <w:bookmarkStart w:id="53" w:name="number-of-buildings-on-a-lot"/>
    <w:p>
      <w:pPr>
        <w:pStyle w:val="Heading2"/>
      </w:pPr>
      <w:r>
        <w:t xml:space="preserve">§ 6-2. Number of buildings on a lot</w:t>
      </w:r>
    </w:p>
    <w:p>
      <w:pPr>
        <w:pStyle w:val="FirstParagraph"/>
      </w:pPr>
      <w:r>
        <w:rPr>
          <w:i/>
          <w:iCs/>
        </w:rPr>
        <w:t xml:space="preserve">[Ord. No. 08-31, 10-7-2009; amended 2-5-2025 by Ord. No. 24-26A]</w:t>
      </w:r>
    </w:p>
    <w:p>
      <w:pPr>
        <w:pStyle w:val="BodyText"/>
      </w:pPr>
      <w:r>
        <w:t xml:space="preserve">Every building hereafter erected, and every use of land hereafter initiated, shall be located on a lot as herein defined in this appendix. There shall not be more than one main residential building and up to two accessory buildings on one lot, except in A and I zones where there may be more than two accessory buildings on a lot. Except as otherwise allowed in this appendix as part of a multifamily development, there shall not be more than one main or principal residential building on a single lot used for residential purposes, and there shall not be more than two accessory buildings, except in the A zones, where there may be more than two accessory buildings per lot. There shall be no limit on the number of buildings on a single lot used for commercial or industrial purposes, provided that the lot coverage and other dimensional requirements are met.</w:t>
      </w:r>
    </w:p>
    <w:p>
      <w:pPr>
        <w:pStyle w:val="BodyText"/>
      </w:pPr>
      <w:r>
        <w:t xml:space="preserve">Notwithstanding the above paragraph, a Special Use Permit may be granted under Unified Development Review when the application meets the specific and objective criteria contained in § 18-3(w), which allows the subdivision of a single parcel of land containing multiple dwellings which are pre-existing and legally non-conforming so that each dwelling shall be contained on a single lot.</w:t>
      </w:r>
    </w:p>
    <w:bookmarkEnd w:id="53"/>
    <w:bookmarkStart w:id="54" w:name="yard-requirements"/>
    <w:p>
      <w:pPr>
        <w:pStyle w:val="Heading2"/>
      </w:pPr>
      <w:r>
        <w:t xml:space="preserve">§ 6-3. Yard requirements</w:t>
      </w:r>
    </w:p>
    <w:p>
      <w:pPr>
        <w:pStyle w:val="FirstParagraph"/>
      </w:pPr>
      <w:r>
        <w:rPr>
          <w:i/>
          <w:iCs/>
        </w:rPr>
        <w:t xml:space="preserve">[Ord. No. 08-31, 10-7-2009]</w:t>
      </w:r>
    </w:p>
    <w:p>
      <w:pPr>
        <w:pStyle w:val="Compact"/>
        <w:numPr>
          <w:ilvl w:val="0"/>
          <w:numId w:val="1044"/>
        </w:numPr>
      </w:pPr>
      <w:r>
        <w:t xml:space="preserve">(a) Apply to only one building. No required yard or other open space around an existing building, or which is hereafter provided around any building for the purpose of complying with the provisions of this appendix shall be considered as providing a yard or open space for any other building, nor shall any yard or other required open space on an adjoining lot be considered as providing a yard or open space on a lot whereon a building is to be erected.</w:t>
      </w:r>
    </w:p>
    <w:p>
      <w:pPr>
        <w:pStyle w:val="Compact"/>
        <w:numPr>
          <w:ilvl w:val="0"/>
          <w:numId w:val="1044"/>
        </w:numPr>
      </w:pPr>
      <w:r>
        <w:t xml:space="preserve">(b) Front yard requirements.</w:t>
      </w:r>
    </w:p>
    <w:p>
      <w:pPr>
        <w:pStyle w:val="Compact"/>
        <w:numPr>
          <w:ilvl w:val="1"/>
          <w:numId w:val="1045"/>
        </w:numPr>
      </w:pPr>
      <w:r>
        <w:t xml:space="preserve">(1) Through lots. For all zones, at each end of a through lot there shall be a front yard of the depth required by this appendix for the zone in which each street frontage is located, as shown in the illustration:</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rPr>
                <w:i/>
                <w:iCs/>
              </w:rPr>
              <w:t xml:space="preserve">[Figure: CU3602-B Through Lots.tif.png]</w:t>
            </w:r>
          </w:p>
        </w:tc>
      </w:tr>
    </w:tbl>
    <w:p>
      <w:pPr>
        <w:pStyle w:val="Compact"/>
        <w:numPr>
          <w:ilvl w:val="1"/>
          <w:numId w:val="1045"/>
        </w:numPr>
      </w:pPr>
      <w:r>
        <w:t xml:space="preserve">(2) Corner lots. All yards fronting on intersecting streets shall meet the required front yard setbacks, as shown in the illustration:</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rPr>
                <w:i/>
                <w:iCs/>
              </w:rPr>
              <w:t xml:space="preserve">[Figure: CU3602-B Corner Lots.tif.png]</w:t>
            </w:r>
          </w:p>
        </w:tc>
      </w:tr>
    </w:tbl>
    <w:p>
      <w:pPr>
        <w:pStyle w:val="Compact"/>
        <w:numPr>
          <w:ilvl w:val="0"/>
          <w:numId w:val="1044"/>
        </w:numPr>
      </w:pPr>
      <w:r>
        <w:t xml:space="preserve">(c) Side yard requirements. For the purpose of side yard regulations, any dwellings which occupy a single lot but have a common party wall, shall be considered as one building.</w:t>
      </w:r>
    </w:p>
    <w:p>
      <w:pPr>
        <w:pStyle w:val="Compact"/>
        <w:numPr>
          <w:ilvl w:val="0"/>
          <w:numId w:val="1044"/>
        </w:numPr>
      </w:pPr>
      <w:r>
        <w:t xml:space="preserve">(d) Projections into yards.</w:t>
      </w:r>
    </w:p>
    <w:p>
      <w:pPr>
        <w:pStyle w:val="Compact"/>
        <w:numPr>
          <w:ilvl w:val="1"/>
          <w:numId w:val="1046"/>
        </w:numPr>
      </w:pPr>
      <w:r>
        <w:t xml:space="preserve">(1) Fire escape. A fire escape may extend or project into any required side or rear yard not more than four feet.</w:t>
      </w:r>
    </w:p>
    <w:p>
      <w:pPr>
        <w:pStyle w:val="Compact"/>
        <w:numPr>
          <w:ilvl w:val="1"/>
          <w:numId w:val="1046"/>
        </w:numPr>
      </w:pPr>
      <w:r>
        <w:t xml:space="preserve">(2) Open stairway, balcony or porch. An open, unenclosed stairway, balcony, porch, deck, platform or landing place, which, except for the roof, does not extend above the level of the first floor of the building may extend or project into any required front yard not more than six feet, and into any required side or rear yard six feet, but in no case closer than four feet to the side or rear lot line.</w:t>
      </w:r>
    </w:p>
    <w:p>
      <w:pPr>
        <w:pStyle w:val="Compact"/>
        <w:numPr>
          <w:ilvl w:val="1"/>
          <w:numId w:val="1046"/>
        </w:numPr>
      </w:pPr>
      <w:r>
        <w:t xml:space="preserve">(3) Handicapped access ramps. Handicapped access ramps may be located in any required front, side or rear yard.</w:t>
      </w:r>
    </w:p>
    <w:bookmarkEnd w:id="54"/>
    <w:bookmarkStart w:id="55" w:name="corner-setback"/>
    <w:p>
      <w:pPr>
        <w:pStyle w:val="Heading2"/>
      </w:pPr>
      <w:r>
        <w:t xml:space="preserve">§ 6-4. Corner setback</w:t>
      </w:r>
    </w:p>
    <w:p>
      <w:pPr>
        <w:pStyle w:val="FirstParagraph"/>
      </w:pPr>
      <w:r>
        <w:rPr>
          <w:i/>
          <w:iCs/>
        </w:rPr>
        <w:t xml:space="preserve">[Ord. No. 08-31, 10-7-2009]</w:t>
      </w:r>
    </w:p>
    <w:p>
      <w:pPr>
        <w:pStyle w:val="BodyText"/>
      </w:pPr>
      <w:r>
        <w:t xml:space="preserve">In any triangle formed by the street lines intersecting at an angle of 100° or less, there shall be a corner setback of and a third line joining points on the street lines 15 feet from the point of intersection, wherein no building or structures may be erected, no parking areas may be created and no vegetation or fencing may be maintained above the height of 3 1/2 feet above the plane of the curb grades. Notwithstanding the provisions of this section, poles not exceeding eight inches in outside diameter designed for the support of lights and signs may be erected in this triangle.</w:t>
      </w:r>
    </w:p>
    <w:bookmarkEnd w:id="55"/>
    <w:bookmarkStart w:id="56" w:name="accessory-uses-in-a-and-r-zones"/>
    <w:p>
      <w:pPr>
        <w:pStyle w:val="Heading2"/>
      </w:pPr>
      <w:r>
        <w:t xml:space="preserve">§ 6-5. Accessory uses in A and R Zones</w:t>
      </w:r>
    </w:p>
    <w:p>
      <w:pPr>
        <w:pStyle w:val="FirstParagraph"/>
      </w:pPr>
      <w:r>
        <w:rPr>
          <w:i/>
          <w:iCs/>
        </w:rPr>
        <w:t xml:space="preserve">[Ord. No. 08-31, 10-7-2009; Ord. No. 12-15-A, § 1, 8-15-2012; amended 12-3-2025 by Ord. No. 25-21]</w:t>
      </w:r>
    </w:p>
    <w:p>
      <w:pPr>
        <w:pStyle w:val="Compact"/>
        <w:numPr>
          <w:ilvl w:val="0"/>
          <w:numId w:val="1047"/>
        </w:numPr>
      </w:pPr>
      <w:r>
        <w:t xml:space="preserve">(a) No accessory use, other than required off-street parking and an attached private garage, shall be located on any lot having an area of less than 6,000 square feet.</w:t>
      </w:r>
    </w:p>
    <w:p>
      <w:pPr>
        <w:pStyle w:val="Compact"/>
        <w:numPr>
          <w:ilvl w:val="0"/>
          <w:numId w:val="1047"/>
        </w:numPr>
      </w:pPr>
      <w:r>
        <w:t xml:space="preserve">(b) Accessory uses or any combination of such uses may be included in an accessory building of one or two stories, and no more than 20 feet in height, except for a barn used for agricultural purposes, which may be 45 feet in height.</w:t>
      </w:r>
    </w:p>
    <w:p>
      <w:pPr>
        <w:pStyle w:val="Compact"/>
        <w:numPr>
          <w:ilvl w:val="0"/>
          <w:numId w:val="1047"/>
        </w:numPr>
      </w:pPr>
      <w:r>
        <w:t xml:space="preserve">(c) No accessory building shall be larger than 936 square feet or 60% of the principal structure, whichever is less. Accessory agricultural buildings, except farm retail sales buildings, in agricultural zones are exempt from this provision.</w:t>
      </w:r>
    </w:p>
    <w:p>
      <w:pPr>
        <w:pStyle w:val="Compact"/>
        <w:numPr>
          <w:ilvl w:val="0"/>
          <w:numId w:val="1047"/>
        </w:numPr>
      </w:pPr>
      <w:r>
        <w:t xml:space="preserve">(d) No accessory building or structure shall be permitted between the front of a main structure and the street, other than a barn used for agricultural purposes, which nevertheless shall not intrude on the required front yard.</w:t>
      </w:r>
    </w:p>
    <w:p>
      <w:pPr>
        <w:pStyle w:val="Compact"/>
        <w:numPr>
          <w:ilvl w:val="0"/>
          <w:numId w:val="1047"/>
        </w:numPr>
      </w:pPr>
      <w:r>
        <w:t xml:space="preserve">(e) Within any A or R zone, where an existing principal structure on an adjacent or contiguous lot is less than 20 feet from any lot line, a principal or accessory structure shall not be located less than 10 feet from such existing principal structure on an adjacent or contiguous lot if the proposed structure is one story, or shall not be located less than 20 feet from such existing principal structure on an adjacent or contiguous lot if the proposed structure is two stories.</w:t>
      </w:r>
    </w:p>
    <w:p>
      <w:pPr>
        <w:pStyle w:val="Compact"/>
        <w:numPr>
          <w:ilvl w:val="0"/>
          <w:numId w:val="1047"/>
        </w:numPr>
      </w:pPr>
      <w:r>
        <w:t xml:space="preserve">(f) Where any side or rear yard abuts upon a public right-of-way, a garage accessible from the street shall not be erected within 18 feet of such public right-of-way.</w:t>
      </w:r>
    </w:p>
    <w:p>
      <w:pPr>
        <w:numPr>
          <w:ilvl w:val="0"/>
          <w:numId w:val="1047"/>
        </w:numPr>
      </w:pPr>
      <w:r>
        <w:t xml:space="preserve">(g) A detached garage or shed shall maintain all required setbacks except as otherwise permitted below.</w:t>
      </w:r>
    </w:p>
    <w:p>
      <w:pPr>
        <w:numPr>
          <w:ilvl w:val="0"/>
          <w:numId w:val="1000"/>
        </w:numPr>
      </w:pPr>
      <w:r>
        <w:t xml:space="preserve">A detached garage or shed may be located within the required rear yard or side yard setback, but not less than six feet from any rear or side lot line, provided such structure is no more than 14 feet in height and no greater than 120 square feet in floor area. Provided, however, that the Building Official may grant a variance to permit the roof pitch to match the principal structure, after the immediate abutting property owners have been advised in writing by certified mail, return receipt requested, cost of same borne by the applicant, and have not objected within 10 calendar days after receipt of such notice.</w:t>
      </w:r>
    </w:p>
    <w:p>
      <w:pPr>
        <w:pStyle w:val="Compact"/>
        <w:numPr>
          <w:ilvl w:val="0"/>
          <w:numId w:val="1047"/>
        </w:numPr>
      </w:pPr>
      <w:r>
        <w:t xml:space="preserve">(h) The Building Official, may at his/her discretion, approve the location of a shed, not-to-exceed 120 square feet of gross floor space to be placed within the required side yard provided that such shed cannot be placed in compliance with these regulations due to dimensional or topographical conditions peculiar to the site, after the immediate abutting property owners have been advised in writing by certified mail, return receipt requested, cost of same borne by the applicant, and have not objected within 10 calendar days after receipt of such notice. Such permission shall be in writing and shall state the reasons therefore, and be signed by the Building Official.</w:t>
      </w:r>
    </w:p>
    <w:p>
      <w:pPr>
        <w:pStyle w:val="Compact"/>
        <w:numPr>
          <w:ilvl w:val="0"/>
          <w:numId w:val="1047"/>
        </w:numPr>
      </w:pPr>
      <w:r>
        <w:t xml:space="preserve">(i) A swimming pool may be located within the required rear yard, but not less than six feet from any rear or side lot line.</w:t>
      </w:r>
    </w:p>
    <w:p>
      <w:pPr>
        <w:pStyle w:val="Compact"/>
        <w:numPr>
          <w:ilvl w:val="0"/>
          <w:numId w:val="1047"/>
        </w:numPr>
      </w:pPr>
      <w:r>
        <w:t xml:space="preserve">(j) A private garage or shed may be used to store vehicles, boats, recreational vehicles or similar equipment owned by the occupant. Storage or parking of tractor-trailers is prohibited in A and R zones, except where such tractor-trailers are exclusively used for agricultural purposes in connection with such lot. Storage or parking of dump trucks, heavy construction equipment, with or without transporting vehicles, and box trucks with cargo sections 12 feet or more in length are prohibited in R zones, except on a transitory basis where such vehicles are used in conjunction with work performed on the premises.</w:t>
      </w:r>
    </w:p>
    <w:p>
      <w:pPr>
        <w:pStyle w:val="Compact"/>
        <w:numPr>
          <w:ilvl w:val="0"/>
          <w:numId w:val="1047"/>
        </w:numPr>
      </w:pPr>
      <w:r>
        <w:t xml:space="preserve">(k) No recreational vehicle shall be used for residential occupancy, except in cases where the residential structure has been destroyed by fire or other act of nature, and, in such case, for no more than one year or until the residential structure is rebuilt, whichever comes first. No recreational vehicle shall be stored for a period in excess of one year unless it is registered and inspected under state law and is in a condition for safe and effective performance of the function for which it is intended.</w:t>
      </w:r>
    </w:p>
    <w:bookmarkEnd w:id="56"/>
    <w:bookmarkStart w:id="57" w:name="accessory-living-units"/>
    <w:p>
      <w:pPr>
        <w:pStyle w:val="Heading2"/>
      </w:pPr>
      <w:r>
        <w:t xml:space="preserve">§ 6-6. Accessory living units</w:t>
      </w:r>
    </w:p>
    <w:p>
      <w:pPr>
        <w:pStyle w:val="FirstParagraph"/>
      </w:pPr>
      <w:r>
        <w:rPr>
          <w:i/>
          <w:iCs/>
        </w:rPr>
        <w:t xml:space="preserve">[Ord. No. 08-31, 10-7-2009; amended 4-7-2021 by Ord. No. 21-01A]</w:t>
      </w:r>
    </w:p>
    <w:p>
      <w:pPr>
        <w:pStyle w:val="Compact"/>
        <w:numPr>
          <w:ilvl w:val="0"/>
          <w:numId w:val="1048"/>
        </w:numPr>
      </w:pPr>
      <w:r>
        <w:t xml:space="preserve">(a) One ADU per lot is permitted by right under the following circumstances:</w:t>
      </w:r>
    </w:p>
    <w:p>
      <w:pPr>
        <w:pStyle w:val="Compact"/>
        <w:numPr>
          <w:ilvl w:val="1"/>
          <w:numId w:val="1049"/>
        </w:numPr>
      </w:pPr>
      <w:r>
        <w:t xml:space="preserve">(1) On an owner-occupied property as a reasonable accommodation for family members with disabilities; or</w:t>
      </w:r>
    </w:p>
    <w:p>
      <w:pPr>
        <w:pStyle w:val="Compact"/>
        <w:numPr>
          <w:ilvl w:val="1"/>
          <w:numId w:val="1049"/>
        </w:numPr>
      </w:pPr>
      <w:r>
        <w:t xml:space="preserve">(2) On a lot with a total lot area of 20,000 square feet or more for which the primary use is residential; or</w:t>
      </w:r>
    </w:p>
    <w:p>
      <w:pPr>
        <w:pStyle w:val="Compact"/>
        <w:numPr>
          <w:ilvl w:val="1"/>
          <w:numId w:val="1049"/>
        </w:numPr>
      </w:pPr>
      <w:r>
        <w:t xml:space="preserve">(3) Where the proposed ADU is located within the existing footprint of the primary structure or existing accessory attached or detached structure and does not expand the footprint of the structure.</w:t>
      </w:r>
    </w:p>
    <w:p>
      <w:pPr>
        <w:pStyle w:val="Compact"/>
        <w:numPr>
          <w:ilvl w:val="0"/>
          <w:numId w:val="1048"/>
        </w:numPr>
      </w:pPr>
      <w:r>
        <w:t xml:space="preserve">(b) An ADU shall be on the same lot where the principal use is a single-family or multifamily dwelling unit;</w:t>
      </w:r>
    </w:p>
    <w:p>
      <w:pPr>
        <w:pStyle w:val="Compact"/>
        <w:numPr>
          <w:ilvl w:val="0"/>
          <w:numId w:val="1048"/>
        </w:numPr>
      </w:pPr>
      <w:r>
        <w:t xml:space="preserve">(c) The ADU shall provide complete independent living facilities for one or more persons;</w:t>
      </w:r>
    </w:p>
    <w:p>
      <w:pPr>
        <w:pStyle w:val="Compact"/>
        <w:numPr>
          <w:ilvl w:val="0"/>
          <w:numId w:val="1048"/>
        </w:numPr>
      </w:pPr>
      <w:r>
        <w:t xml:space="preserve">(d) The ADU may include up to two bedrooms;</w:t>
      </w:r>
    </w:p>
    <w:p>
      <w:pPr>
        <w:pStyle w:val="Compact"/>
        <w:numPr>
          <w:ilvl w:val="0"/>
          <w:numId w:val="1048"/>
        </w:numPr>
      </w:pPr>
      <w:r>
        <w:t xml:space="preserve">(e) The minimum number of off-street parking spaces required for an ADU is one per bedroom;</w:t>
      </w:r>
    </w:p>
    <w:p>
      <w:pPr>
        <w:pStyle w:val="Compact"/>
        <w:numPr>
          <w:ilvl w:val="0"/>
          <w:numId w:val="1048"/>
        </w:numPr>
      </w:pPr>
      <w:r>
        <w:t xml:space="preserve">(f) The ADU shall comply with all state agency regulations and building code requirements;</w:t>
      </w:r>
    </w:p>
    <w:p>
      <w:pPr>
        <w:pStyle w:val="Compact"/>
        <w:numPr>
          <w:ilvl w:val="0"/>
          <w:numId w:val="1048"/>
        </w:numPr>
      </w:pPr>
      <w:r>
        <w:t xml:space="preserve">(g) The size of the ADU may be no more than 60% of the floor area of the principal dwelling or 900 square feet of floor area for a studio or one-bedroom ADU and 1,200 square feet of floor area for a two-bedroom ADU, whichever is less;</w:t>
      </w:r>
    </w:p>
    <w:p>
      <w:pPr>
        <w:pStyle w:val="Compact"/>
        <w:numPr>
          <w:ilvl w:val="0"/>
          <w:numId w:val="1048"/>
        </w:numPr>
      </w:pPr>
      <w:r>
        <w:t xml:space="preserve">(h) The ADU shall meet all the dimensional requirements of Article 5 of this appendix;</w:t>
      </w:r>
    </w:p>
    <w:p>
      <w:pPr>
        <w:pStyle w:val="Compact"/>
        <w:numPr>
          <w:ilvl w:val="0"/>
          <w:numId w:val="1048"/>
        </w:numPr>
      </w:pPr>
      <w:r>
        <w:t xml:space="preserve">(i) Zoning relief shall not be required for ADU applications proposed within an existing footprint of the primary of accessory structure which is a legal nonconforming structure in order to address the existing dimensional nonconformity, however, a proposed ADU shall not be prohibited for failure to meet existing dimensional nonconformities in a legally nonconforming structure;</w:t>
      </w:r>
    </w:p>
    <w:p>
      <w:pPr>
        <w:pStyle w:val="Compact"/>
        <w:numPr>
          <w:ilvl w:val="0"/>
          <w:numId w:val="1048"/>
        </w:numPr>
      </w:pPr>
      <w:r>
        <w:t xml:space="preserve">(j) The ADU shall not be offered or rented for tourist or transient use or through a hosting platform, as such term is defined in R.I.G.L. § 42-63.1-2.</w:t>
      </w:r>
    </w:p>
    <w:bookmarkEnd w:id="57"/>
    <w:bookmarkStart w:id="58" w:name="home-occupations"/>
    <w:p>
      <w:pPr>
        <w:pStyle w:val="Heading2"/>
      </w:pPr>
      <w:r>
        <w:t xml:space="preserve">§ 6-7. Home occupations</w:t>
      </w:r>
    </w:p>
    <w:p>
      <w:pPr>
        <w:pStyle w:val="FirstParagraph"/>
      </w:pPr>
      <w:r>
        <w:rPr>
          <w:i/>
          <w:iCs/>
        </w:rPr>
        <w:t xml:space="preserve">[Ord. No. 08-31, 10-7-2009]</w:t>
      </w:r>
    </w:p>
    <w:p>
      <w:pPr>
        <w:pStyle w:val="BodyText"/>
      </w:pPr>
      <w:r>
        <w:t xml:space="preserve">Home occupations may include, but are not necessarily limited to: professional office, such as that for an accountant, attorney, engineer or other such person licensed by law or certified by a recognized professional society; artist work studio; individual instruction or tutoring; tailoring; telephone sales work; personal service (not including hair salon) or similar activity in which goods, wares or merchandise are not commercially sold at retail. In addition, home occupations:</w:t>
      </w:r>
    </w:p>
    <w:p>
      <w:pPr>
        <w:pStyle w:val="Compact"/>
        <w:numPr>
          <w:ilvl w:val="0"/>
          <w:numId w:val="1050"/>
        </w:numPr>
      </w:pPr>
      <w:r>
        <w:t xml:space="preserve">(a) Shall be operated entirely within a principal dwelling unit or accessory building;</w:t>
      </w:r>
    </w:p>
    <w:p>
      <w:pPr>
        <w:pStyle w:val="Compact"/>
        <w:numPr>
          <w:ilvl w:val="0"/>
          <w:numId w:val="1050"/>
        </w:numPr>
      </w:pPr>
      <w:r>
        <w:t xml:space="preserve">(b) Shall be operated only by the person or persons residing within the dwelling unit, with not more than one employee or regular assistant not residing in the dwelling unit; and</w:t>
      </w:r>
    </w:p>
    <w:p>
      <w:pPr>
        <w:pStyle w:val="Compact"/>
        <w:numPr>
          <w:ilvl w:val="0"/>
          <w:numId w:val="1050"/>
        </w:numPr>
      </w:pPr>
      <w:r>
        <w:t xml:space="preserve">(c) Shall utilize not more than 20% of the GFA in the dwelling unit or not more than 300 square feet whichever is less;</w:t>
      </w:r>
    </w:p>
    <w:p>
      <w:pPr>
        <w:pStyle w:val="Compact"/>
        <w:numPr>
          <w:ilvl w:val="0"/>
          <w:numId w:val="1050"/>
        </w:numPr>
      </w:pPr>
      <w:r>
        <w:t xml:space="preserve">(d) Shall have no exterior evidence of the activity such as artificial lighting, advertisements, displays or the exterior storage of materials; and</w:t>
      </w:r>
    </w:p>
    <w:p>
      <w:pPr>
        <w:pStyle w:val="Compact"/>
        <w:numPr>
          <w:ilvl w:val="0"/>
          <w:numId w:val="1050"/>
        </w:numPr>
      </w:pPr>
      <w:r>
        <w:t xml:space="preserve">(e) Shall not create a nuisance to neighboring dwellings or result in a substantial increase in traffic.</w:t>
      </w:r>
    </w:p>
    <w:bookmarkEnd w:id="58"/>
    <w:bookmarkStart w:id="59" w:name="animals-in-residential-zones"/>
    <w:p>
      <w:pPr>
        <w:pStyle w:val="Heading2"/>
      </w:pPr>
      <w:r>
        <w:t xml:space="preserve">§ 6-8. Animals in residential zones</w:t>
      </w:r>
    </w:p>
    <w:p>
      <w:pPr>
        <w:pStyle w:val="FirstParagraph"/>
      </w:pPr>
      <w:r>
        <w:rPr>
          <w:i/>
          <w:iCs/>
        </w:rPr>
        <w:t xml:space="preserve">[Ord. No. 08-31, 10-7-2009]</w:t>
      </w:r>
    </w:p>
    <w:p>
      <w:pPr>
        <w:pStyle w:val="BodyText"/>
      </w:pPr>
      <w:r>
        <w:t xml:space="preserve">Within the R-1 and R-2 zones, animals for personal use are allowed as follows:</w:t>
      </w:r>
    </w:p>
    <w:p>
      <w:pPr>
        <w:pStyle w:val="Compact"/>
        <w:numPr>
          <w:ilvl w:val="0"/>
          <w:numId w:val="1051"/>
        </w:numPr>
      </w:pPr>
      <w:r>
        <w:t xml:space="preserve">(a) For each 25,000 square feet of land one horse may be kept provided that it is stabled.</w:t>
      </w:r>
    </w:p>
    <w:p>
      <w:pPr>
        <w:pStyle w:val="Compact"/>
        <w:numPr>
          <w:ilvl w:val="0"/>
          <w:numId w:val="1051"/>
        </w:numPr>
      </w:pPr>
      <w:r>
        <w:t xml:space="preserve">(b) A maximum of five birds, fowl or other animals may be kept for each single-family dwelling unit provided that no roosters shall be kept, and provided that such allowable livestock are housed and that any building and/or enclosures which house such livestock be located no less than 25 feet from the property line. Properties containing more than one residential unit do not qualify under this provision.</w:t>
      </w:r>
    </w:p>
    <w:bookmarkEnd w:id="59"/>
    <w:bookmarkStart w:id="60" w:name="Xffb311e77be648d0015c1b2add3ee19da3de023"/>
    <w:p>
      <w:pPr>
        <w:pStyle w:val="Heading2"/>
      </w:pPr>
      <w:r>
        <w:t xml:space="preserve">§ 6-9. Buffer requirements when C or I Zones abut A, OS or R Zones</w:t>
      </w:r>
    </w:p>
    <w:p>
      <w:pPr>
        <w:pStyle w:val="FirstParagraph"/>
      </w:pPr>
      <w:r>
        <w:rPr>
          <w:i/>
          <w:iCs/>
        </w:rPr>
        <w:t xml:space="preserve">[Ord. No. 08-31, 10-7-2009; amended 9-3-2025 by Ord. No. 25-18; 4-15-2026 by Ord. No. 26-03]</w:t>
      </w:r>
    </w:p>
    <w:p>
      <w:pPr>
        <w:pStyle w:val="Compact"/>
        <w:numPr>
          <w:ilvl w:val="0"/>
          <w:numId w:val="1052"/>
        </w:numPr>
      </w:pPr>
      <w:r>
        <w:t xml:space="preserve">(a) Commercial zone buffers. Any building, structure or use on a lot in a C or I zone that abuts an A, OS or R use or zone shall have a buffer extending from the property line of the abutting A, OS or R use or zone according to the following schedule. The buffer shall provide a year-round opaque screen of not less than six feet in height to minimize adverse impacts and to limit views and sounds. The buffer shall be a mixture of ground cover, understory vegetation and canopy trees, evergreens, berms, walls and/or fences to adequately screen the commercial building or use. The required width of the buffer on the lot in the C zone shall be as follows:</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R-2 and R-3</w:t>
            </w:r>
          </w:p>
        </w:tc>
        <w:tc>
          <w:tcPr/>
          <w:p>
            <w:pPr>
              <w:pStyle w:val="Compact"/>
              <w:jc w:val="left"/>
            </w:pPr>
            <w:r>
              <w:rPr>
                <w:b/>
                <w:bCs/>
              </w:rPr>
              <w:t xml:space="preserve">R-1, A-1 and A-2</w:t>
            </w:r>
          </w:p>
        </w:tc>
      </w:tr>
      <w:tr>
        <w:tc>
          <w:tcPr/>
          <w:p>
            <w:pPr>
              <w:pStyle w:val="Compact"/>
              <w:jc w:val="left"/>
            </w:pPr>
            <w:r>
              <w:t xml:space="preserve">C-1</w:t>
            </w:r>
          </w:p>
        </w:tc>
        <w:tc>
          <w:tcPr/>
          <w:p>
            <w:pPr>
              <w:pStyle w:val="Compact"/>
              <w:jc w:val="left"/>
            </w:pPr>
            <w:r>
              <w:t xml:space="preserve">20 feet</w:t>
            </w:r>
          </w:p>
        </w:tc>
        <w:tc>
          <w:tcPr/>
          <w:p>
            <w:pPr>
              <w:pStyle w:val="Compact"/>
              <w:jc w:val="left"/>
            </w:pPr>
            <w:r>
              <w:t xml:space="preserve">40 feet</w:t>
            </w:r>
          </w:p>
        </w:tc>
      </w:tr>
      <w:tr>
        <w:tc>
          <w:tcPr/>
          <w:p>
            <w:pPr>
              <w:pStyle w:val="Compact"/>
              <w:jc w:val="left"/>
            </w:pPr>
            <w:r>
              <w:t xml:space="preserve">C-2</w:t>
            </w:r>
          </w:p>
        </w:tc>
        <w:tc>
          <w:tcPr/>
          <w:p>
            <w:pPr>
              <w:pStyle w:val="Compact"/>
              <w:jc w:val="left"/>
            </w:pPr>
            <w:r>
              <w:t xml:space="preserve">40 feet</w:t>
            </w:r>
          </w:p>
        </w:tc>
        <w:tc>
          <w:tcPr/>
          <w:p>
            <w:pPr>
              <w:pStyle w:val="Compact"/>
              <w:jc w:val="left"/>
            </w:pPr>
            <w:r>
              <w:t xml:space="preserve">50 feet</w:t>
            </w:r>
          </w:p>
        </w:tc>
      </w:tr>
    </w:tbl>
    <w:p>
      <w:pPr>
        <w:pStyle w:val="Compact"/>
        <w:numPr>
          <w:ilvl w:val="0"/>
          <w:numId w:val="1052"/>
        </w:numPr>
      </w:pPr>
      <w:r>
        <w:t xml:space="preserve">(b) Industrial zone buffers. Any building or structure on a lot in an I zone that abuts an A, OS or R use or zone shall have a buffer area of 75 feet from the property line of the abutting A, OS or R use or zones, and any outdoor operation, such as mining or quarry operation, shall have a buffer area of 150 feet from the property line of the abutting A, OS or R zones. The buffer shall consist of natural or planted vegetation and be enhanced with solid board fencing where required to adequately screen the industrial building or use.</w:t>
      </w:r>
    </w:p>
    <w:bookmarkEnd w:id="60"/>
    <w:bookmarkStart w:id="61" w:name="screening-and-fencing"/>
    <w:p>
      <w:pPr>
        <w:pStyle w:val="Heading2"/>
      </w:pPr>
      <w:r>
        <w:t xml:space="preserve">§ 6-10. Screening and fencing</w:t>
      </w:r>
    </w:p>
    <w:p>
      <w:pPr>
        <w:pStyle w:val="FirstParagraph"/>
      </w:pPr>
      <w:r>
        <w:rPr>
          <w:i/>
          <w:iCs/>
        </w:rPr>
        <w:t xml:space="preserve">[Ord. No. 08-31, 10-7-2009]</w:t>
      </w:r>
    </w:p>
    <w:p>
      <w:pPr>
        <w:pStyle w:val="Compact"/>
        <w:numPr>
          <w:ilvl w:val="0"/>
          <w:numId w:val="1053"/>
        </w:numPr>
      </w:pPr>
      <w:r>
        <w:t xml:space="preserve">(a) Screening of trash containers. All commercial and industrial uses, and residential uses of four households or more, shall provide trash and/or garbage collection areas enclosed on at least three sides by a solid wall, opaque fence or compact planting screen of at least five feet in height, if such area is not within an enclosed building or structure. In order to provide adequate vehicular access to and from dumpsters, there shall be a minimum clearance of nine feet between any such dumpster and any principal structure.</w:t>
      </w:r>
    </w:p>
    <w:p>
      <w:pPr>
        <w:pStyle w:val="Compact"/>
        <w:numPr>
          <w:ilvl w:val="0"/>
          <w:numId w:val="1053"/>
        </w:numPr>
      </w:pPr>
      <w:r>
        <w:t xml:space="preserve">(b) Screening of on ground utilities. Utility structures, substations, telephone exchange substations, dish antennae and similar uses shall be enclosed on at least three sides by a vegetative screen of hardy evergreens or shrubs at least three feet high at time of planting and which shall be sufficient to effectively provide a visual screen from adjacent A and R zones.</w:t>
      </w:r>
    </w:p>
    <w:p>
      <w:pPr>
        <w:pStyle w:val="Compact"/>
        <w:numPr>
          <w:ilvl w:val="0"/>
          <w:numId w:val="1053"/>
        </w:numPr>
      </w:pPr>
      <w:r>
        <w:t xml:space="preserve">(c) Fences. In A and R zones, fences shall not exceed four feet in height in any front yard nor shall they exceed six feet in height for other yards.</w:t>
      </w:r>
    </w:p>
    <w:bookmarkEnd w:id="61"/>
    <w:bookmarkStart w:id="62" w:name="X82c65ea4a204f95a78ab5b5fff688e213ef6f3d"/>
    <w:p>
      <w:pPr>
        <w:pStyle w:val="Heading2"/>
      </w:pPr>
      <w:r>
        <w:t xml:space="preserve">§ 6-11. Outdoor display of merchandise (other than vehicles and boats)</w:t>
      </w:r>
    </w:p>
    <w:p>
      <w:pPr>
        <w:pStyle w:val="FirstParagraph"/>
      </w:pPr>
      <w:r>
        <w:rPr>
          <w:i/>
          <w:iCs/>
        </w:rPr>
        <w:t xml:space="preserve">[Ord. No. 08-31, 10-7-2009]</w:t>
      </w:r>
    </w:p>
    <w:p>
      <w:pPr>
        <w:pStyle w:val="BodyText"/>
      </w:pPr>
      <w:r>
        <w:t xml:space="preserve">Except in A and R zones, outdoor display of merchandise (other than vehicles and boats) is permitted up to 10% of the gross floor area of a commercial establishment. Such outdoor display shall be located on the same lot as the main use or may be located on the adjoining municipal sidewalk only with the appropriate municipal permits and/or licenses. No additional parking shall be required for such additional area, provided existing parking is not reduced. The goods displayed shall be removed at the end of each business day. Outdoor display of vehicles and boats shall be permitted where the underlying use is permitted, provided that all other dimensional requirements of this appendix are met.</w:t>
      </w:r>
    </w:p>
    <w:p>
      <w:pPr>
        <w:pStyle w:val="BodyText"/>
      </w:pPr>
      <w:r>
        <w:rPr>
          <w:i/>
          <w:iCs/>
        </w:rPr>
        <w:t xml:space="preserve">Editor's Note: Former § 6-11, Requirements for automobile service stations, adopted by Ord. No. 08-31, 10-7-2009, was repealed 12-6-2023 by Ord. No. 23-26. See now § 18-3(d), Requirements for specific categories of special use.</w:t>
      </w:r>
    </w:p>
    <w:bookmarkEnd w:id="62"/>
    <w:bookmarkStart w:id="63" w:name="stormwater-basins"/>
    <w:p>
      <w:pPr>
        <w:pStyle w:val="Heading2"/>
      </w:pPr>
      <w:r>
        <w:t xml:space="preserve">§ 6-12. Stormwater basins</w:t>
      </w:r>
    </w:p>
    <w:p>
      <w:pPr>
        <w:pStyle w:val="FirstParagraph"/>
      </w:pPr>
      <w:r>
        <w:rPr>
          <w:i/>
          <w:iCs/>
        </w:rPr>
        <w:t xml:space="preserve">[Added 12-16-2021 by Ord. No. 21-29-A; amended 4-15-2026 by Ord. No. 26-03]</w:t>
      </w:r>
    </w:p>
    <w:p>
      <w:pPr>
        <w:pStyle w:val="BodyText"/>
      </w:pPr>
      <w:r>
        <w:t xml:space="preserve">A stormwater basin shall mean any man-made aboveground area, which is typically constructed of earth, to temporarily collect and store stormwater for purposes of temporary detention and/or retention so as to control peak surface run-off and allow for the gradual absorption or release of the stored water at controlled rates. Stormwater basins are often referred to as detention or retention ponds for this reason.</w:t>
      </w:r>
    </w:p>
    <w:p>
      <w:pPr>
        <w:pStyle w:val="Compact"/>
        <w:numPr>
          <w:ilvl w:val="0"/>
          <w:numId w:val="1054"/>
        </w:numPr>
      </w:pPr>
      <w:r>
        <w:t xml:space="preserve">(a) Scope. When a landowner or developer has demonstrated to the Town that property cannot be developed without an aboveground stormwater basin, the basin shall be subject to the provisions of this section.</w:t>
      </w:r>
    </w:p>
    <w:p>
      <w:pPr>
        <w:pStyle w:val="Compact"/>
        <w:numPr>
          <w:ilvl w:val="0"/>
          <w:numId w:val="1054"/>
        </w:numPr>
      </w:pPr>
      <w:r>
        <w:t xml:space="preserve">(b) Purpose. This section is established to:</w:t>
      </w:r>
    </w:p>
    <w:p>
      <w:pPr>
        <w:pStyle w:val="Compact"/>
        <w:numPr>
          <w:ilvl w:val="1"/>
          <w:numId w:val="1055"/>
        </w:numPr>
      </w:pPr>
      <w:r>
        <w:t xml:space="preserve">(1) Provide for the health, safety and welfare of the public.</w:t>
      </w:r>
    </w:p>
    <w:p>
      <w:pPr>
        <w:pStyle w:val="Compact"/>
        <w:numPr>
          <w:ilvl w:val="1"/>
          <w:numId w:val="1055"/>
        </w:numPr>
      </w:pPr>
      <w:r>
        <w:t xml:space="preserve">(2) Avoid or lessen the hazards created by the construction of stormwater basins.</w:t>
      </w:r>
    </w:p>
    <w:p>
      <w:pPr>
        <w:pStyle w:val="Compact"/>
        <w:numPr>
          <w:ilvl w:val="1"/>
          <w:numId w:val="1055"/>
        </w:numPr>
      </w:pPr>
      <w:r>
        <w:t xml:space="preserve">(3) Allow for the use of land which requires the creation of stormwater basins and protect the interests of neighboring landowners.</w:t>
      </w:r>
    </w:p>
    <w:p>
      <w:pPr>
        <w:pStyle w:val="Compact"/>
        <w:numPr>
          <w:ilvl w:val="0"/>
          <w:numId w:val="1054"/>
        </w:numPr>
      </w:pPr>
      <w:r>
        <w:t xml:space="preserve">(c) Applicability. This section shall apply to all land in the Town.</w:t>
      </w:r>
    </w:p>
    <w:p>
      <w:pPr>
        <w:pStyle w:val="Compact"/>
        <w:numPr>
          <w:ilvl w:val="0"/>
          <w:numId w:val="1054"/>
        </w:numPr>
      </w:pPr>
      <w:r>
        <w:t xml:space="preserve">(d) Penalty. Any person who shall violate any of the provisions of this section or fail to comply with this section or with any of the requirements of this section or who shall build or alter any stormwater basin in violation of any detailed statement or plan submitted and approved under this section, upon conviction thereof, shall be punished in accordance with § 17-5.</w:t>
      </w:r>
    </w:p>
    <w:p>
      <w:pPr>
        <w:pStyle w:val="Compact"/>
        <w:numPr>
          <w:ilvl w:val="0"/>
          <w:numId w:val="1054"/>
        </w:numPr>
      </w:pPr>
      <w:r>
        <w:t xml:space="preserve">(e) Specifications.</w:t>
      </w:r>
    </w:p>
    <w:p>
      <w:pPr>
        <w:pStyle w:val="Compact"/>
        <w:numPr>
          <w:ilvl w:val="1"/>
          <w:numId w:val="1056"/>
        </w:numPr>
      </w:pPr>
      <w:r>
        <w:t xml:space="preserve">(1) All designs of stormwater basins shall be approved by the Department of Public Works.</w:t>
      </w:r>
    </w:p>
    <w:p>
      <w:pPr>
        <w:pStyle w:val="Compact"/>
        <w:numPr>
          <w:ilvl w:val="1"/>
          <w:numId w:val="1056"/>
        </w:numPr>
      </w:pPr>
      <w:r>
        <w:t xml:space="preserve">(2) All stormwater basins shall be designed to control a 100-year storm or a different storm frequency as otherwise approved in accordance with the drainage standards of the Land Development and Subdivision Regulations.</w:t>
      </w:r>
    </w:p>
    <w:p>
      <w:pPr>
        <w:pStyle w:val="Compact"/>
        <w:numPr>
          <w:ilvl w:val="1"/>
          <w:numId w:val="1056"/>
        </w:numPr>
      </w:pPr>
      <w:r>
        <w:t xml:space="preserve">(3) All stormwater basins shall not exceed a maximum wet depth of 42 inches.</w:t>
      </w:r>
    </w:p>
    <w:p>
      <w:pPr>
        <w:pStyle w:val="Compact"/>
        <w:numPr>
          <w:ilvl w:val="1"/>
          <w:numId w:val="1056"/>
        </w:numPr>
      </w:pPr>
      <w:r>
        <w:t xml:space="preserve">(4) Each stormwater basin shall be designed to limit unauthorized access but allow for maintenance as prescribed in the drainage standards of the Land Development and Subdivision Regulations.</w:t>
      </w:r>
    </w:p>
    <w:p>
      <w:pPr>
        <w:pStyle w:val="Compact"/>
        <w:numPr>
          <w:ilvl w:val="1"/>
          <w:numId w:val="1056"/>
        </w:numPr>
      </w:pPr>
      <w:r>
        <w:t xml:space="preserve">(5) All stormwater basins shall have a 25-foot buffer area between existing property lines and the edge of the stormwater basin, which may not include buildings or structures, but may include vegetation as may be approved by the Planning Board or Director, as the case may be.</w:t>
      </w:r>
    </w:p>
    <w:p>
      <w:pPr>
        <w:pStyle w:val="Compact"/>
        <w:numPr>
          <w:ilvl w:val="1"/>
          <w:numId w:val="1056"/>
        </w:numPr>
      </w:pPr>
      <w:r>
        <w:t xml:space="preserve">(6) Upon Town approval of a stormwater basin, the owners of property or, in the case of a subdivision that includes a homeowners' association, where a stormwater basin is to be constructed shall place on file with the deed to the property a copy of the stormwater basin operation and maintenance plan. The operation and maintenance plan shall address periodic inspections which are required every three years for private basins and annually for public basins along with sediment removal, vegetation maintenance, mowing requirements, and any other information required by the Planning Board or Director, as the case may be. This filing shall take place prior to the construction of the stormwater basin and prior to the transfer of title to this property.</w:t>
      </w:r>
    </w:p>
    <w:p>
      <w:pPr>
        <w:pStyle w:val="Compact"/>
        <w:numPr>
          <w:ilvl w:val="1"/>
          <w:numId w:val="1056"/>
        </w:numPr>
      </w:pPr>
      <w:r>
        <w:t xml:space="preserve">(7) The design and installation of all stormwater basins shall comply with the latest version of RIDEM's Rhode Island Stormwater Design and Installation Standards Manual.</w:t>
      </w:r>
    </w:p>
    <w:p>
      <w:pPr>
        <w:pStyle w:val="Compact"/>
        <w:numPr>
          <w:ilvl w:val="0"/>
          <w:numId w:val="1054"/>
        </w:numPr>
      </w:pPr>
      <w:r>
        <w:t xml:space="preserve">(f) Liability.</w:t>
      </w:r>
    </w:p>
    <w:p>
      <w:pPr>
        <w:pStyle w:val="Compact"/>
        <w:numPr>
          <w:ilvl w:val="1"/>
          <w:numId w:val="1057"/>
        </w:numPr>
      </w:pPr>
      <w:r>
        <w:t xml:space="preserve">(1) The legal liability for and maintenance of a stormwater basin shall be the sole responsibility of the landowner or homeowners' association.</w:t>
      </w:r>
    </w:p>
    <w:p>
      <w:pPr>
        <w:pStyle w:val="Compact"/>
        <w:numPr>
          <w:ilvl w:val="1"/>
          <w:numId w:val="1057"/>
        </w:numPr>
      </w:pPr>
      <w:r>
        <w:t xml:space="preserve">(2) The landowner or homeowners' association shall have an inspection of the stormwater basin performed by a professional engineer every three years to ensure maintenance and proper function of the stormwater basin. Records of inspections shall be kept on file with the landowner with a copy provided to the department of public works.</w:t>
      </w:r>
    </w:p>
    <w:p>
      <w:pPr>
        <w:pStyle w:val="Compact"/>
        <w:numPr>
          <w:ilvl w:val="1"/>
          <w:numId w:val="1057"/>
        </w:numPr>
      </w:pPr>
      <w:r>
        <w:t xml:space="preserve">(3) Stormwater basins not properly maintained shall be subject to corrective action by the Town. Failure to respond to Town inspection requests or a determination that a stormwater basin is not being properly maintained shall be subject to issuance of a notice of violation. Failure to comply within 45 days will result in the Town of Cumberland taking corrective action, the costs of which shall be imposed as a lien on the property or properties of individual owners or within the homeowners' association.</w:t>
      </w:r>
    </w:p>
    <w:p>
      <w:pPr>
        <w:pStyle w:val="Compact"/>
        <w:numPr>
          <w:ilvl w:val="0"/>
          <w:numId w:val="1054"/>
        </w:numPr>
      </w:pPr>
      <w:r>
        <w:t xml:space="preserve">(g) Obligation to disclose.</w:t>
      </w:r>
    </w:p>
    <w:p>
      <w:pPr>
        <w:pStyle w:val="Compact"/>
        <w:numPr>
          <w:ilvl w:val="1"/>
          <w:numId w:val="1058"/>
        </w:numPr>
      </w:pPr>
      <w:r>
        <w:t xml:space="preserve">(1) The developer, subdivider, or owner of property within the Town who shall develop or subdivide property within the Town in such a manner so as to qualify under the provisions of this article and who shall transfer, lease, or otherwise convey any portion of such property upon which is constructed a stormwater basin to any person, partnership, corporation, holding company or other personal or business entity, shall be obliged to inform such person, partnership, corporation, holding company or other personal or business entity to which such property is transfer of the existence thereupon of a stormwater basin governed by the provisions of this article and the obligations and liabilities hereinunder. Similarly, any subsequent owner of the property has the same obligation to disclose under the provisions of this article to any subsequent grantee.</w:t>
      </w:r>
    </w:p>
    <w:p>
      <w:pPr>
        <w:pStyle w:val="Compact"/>
        <w:numPr>
          <w:ilvl w:val="1"/>
          <w:numId w:val="1058"/>
        </w:numPr>
      </w:pPr>
      <w:r>
        <w:t xml:space="preserve">(2) Compliance with such obligation to inform shall be in the form of a written description of the legal status of the stormwater basin by assessor's plat and lot; the obligations which are being assumed by the purchaser or grantee thereof, especially § 6-16(f), liability, hereof; and shall contain the witnessed or notarized signatures of the grantor and the grantee.</w:t>
      </w:r>
    </w:p>
    <w:p>
      <w:pPr>
        <w:pStyle w:val="Compact"/>
        <w:numPr>
          <w:ilvl w:val="1"/>
          <w:numId w:val="1058"/>
        </w:numPr>
      </w:pPr>
      <w:r>
        <w:t xml:space="preserve">(3) A copy of such document shall be conveyed to the Director of Public Works of the Town of Cumberland, Rhode Island by the grantor. The Director of Public Works shall file a copy of such document in the Land Evidence Records of the Town of Cumberland, Rhode Island, which filing shall constitute a lien against the property for title examination purposes.</w:t>
      </w:r>
    </w:p>
    <w:p>
      <w:pPr>
        <w:pStyle w:val="Compact"/>
        <w:numPr>
          <w:ilvl w:val="1"/>
          <w:numId w:val="1058"/>
        </w:numPr>
      </w:pPr>
      <w:r>
        <w:t xml:space="preserve">(4) Failure to comply with this provision shall be punishable by a fine of up to $100 per day for each consecutive individual day beyond the date of the transfer of a property containing a stormwater basin subject to this section, or, such other subsequent penalty, which may be imposed by the municipal court of the Town of Cumberland, Rhode Island.</w:t>
      </w:r>
    </w:p>
    <w:p>
      <w:pPr>
        <w:pStyle w:val="Compact"/>
        <w:numPr>
          <w:ilvl w:val="0"/>
          <w:numId w:val="1054"/>
        </w:numPr>
      </w:pPr>
      <w:r>
        <w:t xml:space="preserve">(h) Waiver or modification.</w:t>
      </w:r>
    </w:p>
    <w:p>
      <w:pPr>
        <w:pStyle w:val="Compact"/>
        <w:numPr>
          <w:ilvl w:val="1"/>
          <w:numId w:val="1059"/>
        </w:numPr>
      </w:pPr>
      <w:r>
        <w:t xml:space="preserve">(1) The Town Planning Board is hereby empowered and authorized to grant a waiver or modification from the strict application of the provisions of only §§ 6-16(e)(4), (5), and (6) in accordance with the regulations.</w:t>
      </w:r>
    </w:p>
    <w:p>
      <w:pPr>
        <w:pStyle w:val="Compact"/>
        <w:numPr>
          <w:ilvl w:val="1"/>
          <w:numId w:val="1059"/>
        </w:numPr>
      </w:pPr>
      <w:r>
        <w:t xml:space="preserve">(2) Such waiver or modification shall only be considered at a public hearing called for such purpose. Such hearing may be included in the routine agenda of the Planning Board, however such hearing shall be separately listed on the Planning Board agenda and considered as a matter separate from any land development or subdivision hearing for the subject property, which may also be on the Planning Board agenda.</w:t>
      </w:r>
    </w:p>
    <w:p>
      <w:pPr>
        <w:pStyle w:val="Compact"/>
        <w:numPr>
          <w:ilvl w:val="1"/>
          <w:numId w:val="1059"/>
        </w:numPr>
      </w:pPr>
      <w:r>
        <w:t xml:space="preserve">(3) Notice of any hearing which takes place pursuant to this section shall be given by the Planning Board to the owners of real property within 200 feet of the lot on which the proposed stormwater basin shall be located. Should the proposed stormwater basin be a part of a land development project or subdivision being considered by the Planning Board the notice area shall be 200 feet of the perimeter of the entire parcel under consideration.</w:t>
      </w:r>
    </w:p>
    <w:p>
      <w:pPr>
        <w:pStyle w:val="Compact"/>
        <w:numPr>
          <w:ilvl w:val="1"/>
          <w:numId w:val="1059"/>
        </w:numPr>
      </w:pPr>
      <w:r>
        <w:t xml:space="preserve">(4) Notice shall be by first class mail, return receipt requested, at least 10 days in advance of the hearing, and shall contain the date, time and place of the public hearing, the name of the property owner or developer, the assessor's plat and lot and a brief description of the matter under consideration. Should the request for waiver or modification involve a land development project or subdivision also being considered by the Planning Board at such meetings, the notices may be included in the same mailing; provided, however, that separate notice shall be required in written form.</w:t>
      </w:r>
    </w:p>
    <w:p>
      <w:pPr>
        <w:pStyle w:val="Compact"/>
        <w:numPr>
          <w:ilvl w:val="1"/>
          <w:numId w:val="1059"/>
        </w:numPr>
      </w:pPr>
      <w:r>
        <w:t xml:space="preserve">(5) Copies of the notice of such hearing shall be delivered to the director of public works of the Town of Cumberland, Rhode Island, as well as any other municipal, state or federal official or agency deemed appropriate by the administrative officer. Such notice shall solicit written comments. All final written comments to the Planning Board from the administrative officer, the Director of Public Works, municipal departments, state and federal officials or agencies shall be a part of the permanent record of the application for relief, as well as the development application, if any.</w:t>
      </w:r>
    </w:p>
    <w:p>
      <w:pPr>
        <w:pStyle w:val="Compact"/>
        <w:numPr>
          <w:ilvl w:val="1"/>
          <w:numId w:val="1059"/>
        </w:numPr>
      </w:pPr>
      <w:r>
        <w:t xml:space="preserve">(6) The determination of the Planning Board shall be by the majority of the full membership of the Board. All records of the Board, together with the rational thereof shall be written and kept as a part of the permanent record of the Planning Board and shall be for available public review.</w:t>
      </w:r>
    </w:p>
    <w:p>
      <w:pPr>
        <w:pStyle w:val="FirstParagraph"/>
      </w:pPr>
      <w:r>
        <w:rPr>
          <w:i/>
          <w:iCs/>
        </w:rPr>
        <w:t xml:space="preserve">Editor's Note: Former § 6-12, Outside storage of vehicles, adopted by Ord. No. 08-31, 10-7-2009, was repealed 12-6-2023 by Ord. No. 23-26.</w:t>
      </w:r>
    </w:p>
    <w:bookmarkEnd w:id="63"/>
    <w:bookmarkStart w:id="64" w:name="reserved-1"/>
    <w:p>
      <w:pPr>
        <w:pStyle w:val="Heading2"/>
      </w:pPr>
      <w:r>
        <w:t xml:space="preserve">§ 6-13. (Reserved)</w:t>
      </w:r>
    </w:p>
    <w:p>
      <w:pPr>
        <w:pStyle w:val="FirstParagraph"/>
      </w:pPr>
      <w:r>
        <w:rPr>
          <w:i/>
          <w:iCs/>
        </w:rPr>
        <w:t xml:space="preserve">Editor's Note: Former § 6-13, Outdoor display of merchandise (other than vehicles and boats), was renumbered to § 6-11 on 12-6-2023 by Ord. No. 23-26.</w:t>
      </w:r>
    </w:p>
    <w:bookmarkEnd w:id="64"/>
    <w:bookmarkStart w:id="65" w:name="reserved-2"/>
    <w:p>
      <w:pPr>
        <w:pStyle w:val="Heading2"/>
      </w:pPr>
      <w:r>
        <w:t xml:space="preserve">§ 6-14. (Reserved)</w:t>
      </w:r>
    </w:p>
    <w:p>
      <w:pPr>
        <w:pStyle w:val="FirstParagraph"/>
      </w:pPr>
      <w:r>
        <w:rPr>
          <w:i/>
          <w:iCs/>
        </w:rPr>
        <w:t xml:space="preserve">Editor's Note: Former § 6-14, Communication towers, adopted by Ord. No. 08-31, 10-7-2009, was repealed 12-6-2023 by Ord. No. 23-26. See now § 18-3(g), Requirements for specific categories of special use.</w:t>
      </w:r>
    </w:p>
    <w:bookmarkEnd w:id="65"/>
    <w:bookmarkStart w:id="66" w:name="reserved-3"/>
    <w:p>
      <w:pPr>
        <w:pStyle w:val="Heading2"/>
      </w:pPr>
      <w:r>
        <w:t xml:space="preserve">§ 6-15. (Reserved)</w:t>
      </w:r>
    </w:p>
    <w:p>
      <w:pPr>
        <w:pStyle w:val="FirstParagraph"/>
      </w:pPr>
      <w:r>
        <w:rPr>
          <w:i/>
          <w:iCs/>
        </w:rPr>
        <w:t xml:space="preserve">Editor's Note: Former § 6-15, Pre-schools and day care facilities centers (excluding family day care), adopted by Ord. No. 08-31, 10-7-2009, was repealed 12-6-2023 by Ord. No. 23-26. See now § 18-3(s) and (i), Requirements for specific categories of special use.</w:t>
      </w:r>
    </w:p>
    <w:bookmarkEnd w:id="66"/>
    <w:bookmarkStart w:id="67" w:name="reserved-4"/>
    <w:p>
      <w:pPr>
        <w:pStyle w:val="Heading2"/>
      </w:pPr>
      <w:r>
        <w:t xml:space="preserve">§ 6-16. (Reserved)</w:t>
      </w:r>
    </w:p>
    <w:p>
      <w:pPr>
        <w:pStyle w:val="FirstParagraph"/>
      </w:pPr>
      <w:r>
        <w:rPr>
          <w:i/>
          <w:iCs/>
        </w:rPr>
        <w:t xml:space="preserve">Editor's Note: Former § 6-16, Stormwater basins, was renumbered to § 6-12 12-6-2023 by Ord. No. 23-26.</w:t>
      </w:r>
    </w:p>
    <w:bookmarkEnd w:id="67"/>
    <w:bookmarkStart w:id="68" w:name="agricultural-operations"/>
    <w:p>
      <w:pPr>
        <w:pStyle w:val="Heading1"/>
      </w:pPr>
      <w:r>
        <w:t xml:space="preserve">§ 7. Agricultural Operations</w:t>
      </w:r>
    </w:p>
    <w:bookmarkEnd w:id="68"/>
    <w:bookmarkStart w:id="69" w:name="purpose-1"/>
    <w:p>
      <w:pPr>
        <w:pStyle w:val="Heading2"/>
      </w:pPr>
      <w:r>
        <w:t xml:space="preserve">§ 7-1. Purpose</w:t>
      </w:r>
    </w:p>
    <w:p>
      <w:pPr>
        <w:pStyle w:val="FirstParagraph"/>
      </w:pPr>
      <w:r>
        <w:rPr>
          <w:i/>
          <w:iCs/>
        </w:rPr>
        <w:t xml:space="preserve">[Ord. No. 08-31, 10-7-2009]</w:t>
      </w:r>
    </w:p>
    <w:p>
      <w:pPr>
        <w:pStyle w:val="BodyText"/>
      </w:pPr>
      <w:r>
        <w:t xml:space="preserve">The purpose of this appendix article is to encourage farming and agricultural operations within the Town of Cumberland Rhode Island by permitting, in addition to the principal agricultural activities conducted upon such site, retail sales of certain farm and farm-related products.</w:t>
      </w:r>
    </w:p>
    <w:bookmarkEnd w:id="69"/>
    <w:bookmarkStart w:id="70" w:name="definitions-1"/>
    <w:p>
      <w:pPr>
        <w:pStyle w:val="Heading2"/>
      </w:pPr>
      <w:r>
        <w:t xml:space="preserve">§ 7-2. Definitions</w:t>
      </w:r>
    </w:p>
    <w:p>
      <w:pPr>
        <w:pStyle w:val="FirstParagraph"/>
      </w:pPr>
      <w:r>
        <w:rPr>
          <w:i/>
          <w:iCs/>
        </w:rPr>
        <w:t xml:space="preserve">[Ord. No. 08-31, 10-7-2009]</w:t>
      </w:r>
    </w:p>
    <w:p>
      <w:pPr>
        <w:pStyle w:val="BodyText"/>
      </w:pPr>
      <w:r>
        <w:t xml:space="preserve">Whenever used in this article, the following terms shall have the following meanings, unless an alternate meaning is obviously intended:</w:t>
      </w:r>
    </w:p>
    <w:p>
      <w:pPr>
        <w:pStyle w:val="BodyText"/>
      </w:pPr>
      <w:r>
        <w:t xml:space="preserve">AGRICULTURAL OPERATIONS — Any commercial enterprise which has as its primary purpose horticulture, viticulture, viniculture, floriculture, forestry, dairy farming, or aquaculture, or the raising of livestock, fur bearing animals, poultry or bees, or as such definition may be amended from time to time in Chapter 23 § 4 of the General Laws of the State of Rhode Island entitled "The Rhode Island Right to Farm Act."</w:t>
      </w:r>
    </w:p>
    <w:p>
      <w:pPr>
        <w:pStyle w:val="BodyText"/>
      </w:pPr>
      <w:r>
        <w:t xml:space="preserve">FARM — Agricultural land of at least five acres, together with principal and accessory buildings and structures upon which agricultural operations are conducted and/or land previously utilized for such purposes before the enactment of this appendix upon which a legal pre-existing nonconforming use was operated.</w:t>
      </w:r>
    </w:p>
    <w:p>
      <w:pPr>
        <w:pStyle w:val="BodyText"/>
      </w:pPr>
      <w:r>
        <w:t xml:space="preserve">FARMER — For the purposes of this article, a farmer is an individual, partnership, corporation or other recognized legal entity which operates a farm and has filed a U.S. Internal Revenue Form 1040 (Schedule F) with the Internal Revenue Service, and/or has a State of Rhode Island farm tax number.</w:t>
      </w:r>
    </w:p>
    <w:p>
      <w:pPr>
        <w:pStyle w:val="BodyText"/>
      </w:pPr>
      <w:r>
        <w:t xml:space="preserve">FARM STAND — A rustic freestanding structure or vehicle located upon a farm, not exceeding 200 square feet in total floor area, the principal use of which is the sale of farm products at retail to the general public. Farm stands may be structures or motor vehicles, wagons or trailers, and are permitted only upon the premises of a farm owned or leased by the licensee thereof.</w:t>
      </w:r>
    </w:p>
    <w:p>
      <w:pPr>
        <w:pStyle w:val="BodyText"/>
      </w:pPr>
      <w:r>
        <w:t xml:space="preserve">FARM PRODUCTS — All agricultural, horticultural, vegetable, fruit, or other products of the soil, livestock products, poultry, eggs, dairy products, nuts, mushrooms, honey and beeswax; provided however that this definition does not include finished forest products, such as lumber or building materials.</w:t>
      </w:r>
    </w:p>
    <w:p>
      <w:pPr>
        <w:pStyle w:val="BodyText"/>
      </w:pPr>
      <w:r>
        <w:t xml:space="preserve">FARM RELATED PRODUCTS — Products, other than farm products as defined above, which are capable of being built, constructed, crafted or manufactured on a farm by a farmer and/or his/her family members such as craft arts, books, clothing or quilts. This definition also includes lawn and garden supplies such as potting soil, peat moss or other soil amendments, seeds, pots, planters and the like. This definition specifically excludes products other than those described above, and which, by their very nature must be manufactured in a commercial or industrial location, including, but not limited to, automotive products, farm machinery, lawn mowers, chain saws, fabricated metal products, tools or hardware.</w:t>
      </w:r>
    </w:p>
    <w:p>
      <w:pPr>
        <w:pStyle w:val="BodyText"/>
      </w:pPr>
      <w:r>
        <w:t xml:space="preserve">FARM RETAIL SALES BUILDING — A building located upon a farm, not exceeding 1,000 square feet (by right) or 1,600 square feet (by special use permit) per farm, the principal use of which is the sale of farm or farm-related products at retail to the general public. Farm retail sales buildings are permitted only upon the premises of a farm owned or leased by the licensee thereof.</w:t>
      </w:r>
    </w:p>
    <w:p>
      <w:pPr>
        <w:pStyle w:val="BodyText"/>
      </w:pPr>
      <w:r>
        <w:t xml:space="preserve">VEGETATIVE PRODUCTS — As used in this article, the term vegetative products shall mean any farm product of horticultural origin, including, but not necessarily limited to fruit, vegetables, live trees, Christmas trees, shrubs, firewood, sod, hay and flowers, but excluding products of animal origin such as livestock, poultry, eggs, milk, cheese, honey, seafood, bees, or the like. Also excluded from this definition are forest products including lumber, logs or similar building materials.</w:t>
      </w:r>
    </w:p>
    <w:bookmarkEnd w:id="70"/>
    <w:bookmarkStart w:id="71" w:name="farm-retail-sales-activities"/>
    <w:p>
      <w:pPr>
        <w:pStyle w:val="Heading2"/>
      </w:pPr>
      <w:r>
        <w:t xml:space="preserve">§ 7-3. Farm retail sales activities</w:t>
      </w:r>
    </w:p>
    <w:p>
      <w:pPr>
        <w:pStyle w:val="FirstParagraph"/>
      </w:pPr>
      <w:r>
        <w:rPr>
          <w:i/>
          <w:iCs/>
        </w:rPr>
        <w:t xml:space="preserve">[Ord. No. 08-31, 10-7-2009]</w:t>
      </w:r>
    </w:p>
    <w:p>
      <w:pPr>
        <w:pStyle w:val="Compact"/>
        <w:numPr>
          <w:ilvl w:val="0"/>
          <w:numId w:val="1060"/>
        </w:numPr>
      </w:pPr>
      <w:r>
        <w:t xml:space="preserve">(a) Retail by right. Upon any farm, which is permitted by the character of the agricultural zone in which it is located, or which is a legally pre-existing nonconforming use, the retail sales activities listed herein below are permitted by right as well as educational, recreational and cultural services reasonably related thereto. These activities shall be permitted in addition to the retail sales of farm products normally associated with the operation of a farm, and raised or produced on the premises, which are presently currently permitted by this appendix.</w:t>
      </w:r>
    </w:p>
    <w:p>
      <w:pPr>
        <w:pStyle w:val="Compact"/>
        <w:numPr>
          <w:ilvl w:val="1"/>
          <w:numId w:val="1061"/>
        </w:numPr>
      </w:pPr>
      <w:r>
        <w:t xml:space="preserve">(1) Sales of vegetative products, defined above, not raised on the premises.</w:t>
      </w:r>
    </w:p>
    <w:p>
      <w:pPr>
        <w:pStyle w:val="Compact"/>
        <w:numPr>
          <w:ilvl w:val="1"/>
          <w:numId w:val="1061"/>
        </w:numPr>
      </w:pPr>
      <w:r>
        <w:t xml:space="preserve">(2) Sales of compost or manure produced on the premises only.</w:t>
      </w:r>
    </w:p>
    <w:p>
      <w:pPr>
        <w:pStyle w:val="Compact"/>
        <w:numPr>
          <w:ilvl w:val="1"/>
          <w:numId w:val="1061"/>
        </w:numPr>
      </w:pPr>
      <w:r>
        <w:t xml:space="preserve">(3) Sales of mulch composed of vegetative origin, such as bark mulch. No more than 150 cubic yards of mulch not produced on the property itself may be stockpiled on the premises at any one time. Sale of mulch composed of earth products such as stone, sand or loam shall be prohibited.</w:t>
      </w:r>
    </w:p>
    <w:p>
      <w:pPr>
        <w:numPr>
          <w:ilvl w:val="1"/>
          <w:numId w:val="1061"/>
        </w:numPr>
      </w:pPr>
      <w:r>
        <w:t xml:space="preserve">(4) Retail sales of farm-related products defined in the ordinance above.</w:t>
      </w:r>
    </w:p>
    <w:p>
      <w:pPr>
        <w:numPr>
          <w:ilvl w:val="1"/>
          <w:numId w:val="1000"/>
        </w:numPr>
      </w:pPr>
      <w:r>
        <w:t xml:space="preserve">Retail sales of products on a farm as permitted by this appendix may take place (1) outdoors anywhere upon the lot constituting the premises of the farm, (2) within a farm retail sales building located on the premises of the farm, or (3) at a farm stand.</w:t>
      </w:r>
    </w:p>
    <w:p>
      <w:pPr>
        <w:pStyle w:val="Compact"/>
        <w:numPr>
          <w:ilvl w:val="0"/>
          <w:numId w:val="1060"/>
        </w:numPr>
      </w:pPr>
      <w:r>
        <w:t xml:space="preserve">(b) Sale of vegetative products not raised grown on the farm premises. Upon any farm as herein defined, the sale of vegetative farm products, as defined above, not raised grown on the premises shall be permitted in addition to sale of any farm products raised or produced upon the farm premises itself. The purpose of this provision is to permit vegetative farm products grown or produced or raised off premises to be sold upon any farm anywhere in the Town. Sale of such imported vegetative products, if conducted out of doors, shall not be limited in terms of area, location or extent. Such products may also be sold within a farm retail sales building or farm stand, as defined herein above.</w:t>
      </w:r>
    </w:p>
    <w:p>
      <w:pPr>
        <w:numPr>
          <w:ilvl w:val="0"/>
          <w:numId w:val="1060"/>
        </w:numPr>
      </w:pPr>
      <w:r>
        <w:t xml:space="preserve">(c) Farm sales license required. All farm retail sales activities shall be required to obtain all necessary permits and licenses required by the regulations of the Town of Cumberland and the State of Rhode Island, which are appropriate. It shall be the responsibility of the operator of the farm retail sales building or farm stand to obtain such licenses through consultation with the Town Clerk.</w:t>
      </w:r>
    </w:p>
    <w:p>
      <w:pPr>
        <w:numPr>
          <w:ilvl w:val="0"/>
          <w:numId w:val="1000"/>
        </w:numPr>
      </w:pPr>
      <w:r>
        <w:t xml:space="preserve">No more than one license or series of licenses which constitute the requirements under law shall be issued annually for retail sales activities upon any single farm as defined herein; provided, however, that an individual farmer may be issued any number of annual permits for each separate farm he/she owns or leases.</w:t>
      </w:r>
    </w:p>
    <w:bookmarkEnd w:id="71"/>
    <w:bookmarkStart w:id="72" w:name="farm-retail-sales-buildings"/>
    <w:p>
      <w:pPr>
        <w:pStyle w:val="Heading2"/>
      </w:pPr>
      <w:r>
        <w:t xml:space="preserve">§ 7-4. Farm retail sales buildings</w:t>
      </w:r>
    </w:p>
    <w:p>
      <w:pPr>
        <w:pStyle w:val="FirstParagraph"/>
      </w:pPr>
      <w:r>
        <w:rPr>
          <w:i/>
          <w:iCs/>
        </w:rPr>
        <w:t xml:space="preserve">[Ord. No. 08-31, 10-7-2009]</w:t>
      </w:r>
    </w:p>
    <w:p>
      <w:pPr>
        <w:numPr>
          <w:ilvl w:val="0"/>
          <w:numId w:val="1062"/>
        </w:numPr>
      </w:pPr>
      <w:r>
        <w:t xml:space="preserve">(a) Area by right. A "farm retail sales building" is defined as a single building or group of buildings located upon a farm, the principle use of which is the sale of farm or farm-related products at retail to the general public.</w:t>
      </w:r>
    </w:p>
    <w:p>
      <w:pPr>
        <w:numPr>
          <w:ilvl w:val="0"/>
          <w:numId w:val="1000"/>
        </w:numPr>
      </w:pPr>
      <w:r>
        <w:t xml:space="preserve">Retail sales may be conducted by a farmer upon a farm (1) within a principle dwelling; (2) within a barn, garage, storage shed or similar accessory farm building; or (3) within a single building devoted solely to retail sales provided that the total cumulative floor area of any and all such building(s) does not exceed 1,000 square feet per farm by right. A barn, garage, or a greenhouse shall not be considered to be a farm retail sales building if no retail sales are conducted anywhere within the building and if such building is not open to the general public.</w:t>
      </w:r>
    </w:p>
    <w:p>
      <w:pPr>
        <w:numPr>
          <w:ilvl w:val="0"/>
          <w:numId w:val="1000"/>
        </w:numPr>
      </w:pPr>
      <w:r>
        <w:t xml:space="preserve">Within any such farm retail sales building, storage areas not open to the public shall not be counted toward the 1,000 square foot maximum floor area allowed per farm, provided that all such areas shall be clearly identified and marked as such, and shall not be open to the general public at any time whatsoever. If any portion of a farm retail sales building shall be open to the general public, including, but not limited to, storage, growing or greenhouse areas, it shall be counted toward the 1,000 square foot maximum area.</w:t>
      </w:r>
    </w:p>
    <w:p>
      <w:pPr>
        <w:numPr>
          <w:ilvl w:val="0"/>
          <w:numId w:val="1062"/>
        </w:numPr>
      </w:pPr>
      <w:r>
        <w:t xml:space="preserve">(b) Area by special use permit. Whenever the owner of a farm as defined herein can demonstrate to the satisfaction of the Zoning Board of Review that an additional amount of square footage may be added to the maximum allowed square footage area of a farm retail sales building without being detrimental to the public health, safety and welfare, the Zoning Board of Review board may grant an additional amount of square footage to a farm retail sales building not to exceed 1,000 square feet for up to a total maximum square footage of 1,600 square feet. Such allowance shall be in the form of a special use permit as provided for in Article 18.</w:t>
      </w:r>
    </w:p>
    <w:p>
      <w:pPr>
        <w:numPr>
          <w:ilvl w:val="0"/>
          <w:numId w:val="1000"/>
        </w:numPr>
      </w:pPr>
      <w:r>
        <w:t xml:space="preserve">In the granting of a special use permit for such additional square footage, the Zoning Board of Review shall judge the application by the provisions of § 18-3 and may impose any conditions it deems necessary and reasonable under the provision of § 18-6. Under no circumstance may the Zoning Board of Review board grant relief under this provision beyond the maximum square footage of 1,600 square feet as stated herein.</w:t>
      </w:r>
    </w:p>
    <w:p>
      <w:pPr>
        <w:pStyle w:val="Compact"/>
        <w:numPr>
          <w:ilvl w:val="0"/>
          <w:numId w:val="1062"/>
        </w:numPr>
      </w:pPr>
      <w:r>
        <w:t xml:space="preserve">(c) Design review standards. All building plans involving farm retail sales activities, whether in whole or in part, shall be reviewed by the Planning Board, in accordance with the provisions of Article 12, with a view to maintaining the rural characteristics of the specific area, and the community in general, prior to the issuance of any building permit by the Building Official.</w:t>
      </w:r>
    </w:p>
    <w:bookmarkEnd w:id="72"/>
    <w:bookmarkStart w:id="73" w:name="permitted-indoor-uses-improvements-sales"/>
    <w:p>
      <w:pPr>
        <w:pStyle w:val="Heading2"/>
      </w:pPr>
      <w:r>
        <w:t xml:space="preserve">§ 7-5. Permitted indoor uses improvements sales</w:t>
      </w:r>
    </w:p>
    <w:p>
      <w:pPr>
        <w:pStyle w:val="FirstParagraph"/>
      </w:pPr>
      <w:r>
        <w:rPr>
          <w:i/>
          <w:iCs/>
        </w:rPr>
        <w:t xml:space="preserve">[Ord. No. 08-31, 10-7-2009]</w:t>
      </w:r>
    </w:p>
    <w:p>
      <w:pPr>
        <w:pStyle w:val="BodyText"/>
      </w:pPr>
      <w:r>
        <w:t xml:space="preserve">In addition to the sales listed in subsections 7-3(b) and 7-3(c) above, the following types of retail sales of food and farm-related products are permitted within a farm retail sales building, as indoor sales only:</w:t>
      </w:r>
    </w:p>
    <w:p>
      <w:pPr>
        <w:pStyle w:val="Compact"/>
        <w:numPr>
          <w:ilvl w:val="0"/>
          <w:numId w:val="1063"/>
        </w:numPr>
      </w:pPr>
      <w:r>
        <w:t xml:space="preserve">(a) Sale of food. Sale of food or food products within a farm retail sales building is permitted as follows:</w:t>
      </w:r>
    </w:p>
    <w:p>
      <w:pPr>
        <w:pStyle w:val="Compact"/>
        <w:numPr>
          <w:ilvl w:val="1"/>
          <w:numId w:val="1064"/>
        </w:numPr>
      </w:pPr>
      <w:r>
        <w:t xml:space="preserve">(1) Prepared food items such as baked goods, canned goods, preserves, herbs and the like may be sold, provided all food preparation and cooking is conducted upon the farm within a kitchen licensed by the state and the Town, as may be appropriate.</w:t>
      </w:r>
    </w:p>
    <w:p>
      <w:pPr>
        <w:pStyle w:val="Compact"/>
        <w:numPr>
          <w:ilvl w:val="1"/>
          <w:numId w:val="1064"/>
        </w:numPr>
      </w:pPr>
      <w:r>
        <w:t xml:space="preserve">(2) Fresh and frozen meats prepared or smoked, poultry or other perishable foods raised or produced on the farm may be sold, but the sale of freshly cooked meats or poultry is specifically prohibited. A slaughterhouse, as a principle use, is specifically prohibited under the provisions of this appendix.</w:t>
      </w:r>
    </w:p>
    <w:p>
      <w:pPr>
        <w:pStyle w:val="Compact"/>
        <w:numPr>
          <w:ilvl w:val="1"/>
          <w:numId w:val="1064"/>
        </w:numPr>
      </w:pPr>
      <w:r>
        <w:t xml:space="preserve">(3) All foods shall be prepared and packaged upon the farm premises.</w:t>
      </w:r>
    </w:p>
    <w:p>
      <w:pPr>
        <w:pStyle w:val="Compact"/>
        <w:numPr>
          <w:ilvl w:val="1"/>
          <w:numId w:val="1064"/>
        </w:numPr>
      </w:pPr>
      <w:r>
        <w:t xml:space="preserve">(4) No food sold to the public shall be consumed by the public on the premises.</w:t>
      </w:r>
    </w:p>
    <w:p>
      <w:pPr>
        <w:pStyle w:val="Compact"/>
        <w:numPr>
          <w:ilvl w:val="0"/>
          <w:numId w:val="1063"/>
        </w:numPr>
      </w:pPr>
      <w:r>
        <w:t xml:space="preserve">(b) Sale of farm-related products. All such products as defined in this appendix article may be sold indoors only within a farm retail sales building provided that the floor area devoted to such sales does not exceed 25% of the total area of the farm retail sales building(s).</w:t>
      </w:r>
    </w:p>
    <w:bookmarkEnd w:id="73"/>
    <w:bookmarkStart w:id="74" w:name="farm-stands"/>
    <w:p>
      <w:pPr>
        <w:pStyle w:val="Heading2"/>
      </w:pPr>
      <w:r>
        <w:t xml:space="preserve">§ 7-6. Farm stands</w:t>
      </w:r>
    </w:p>
    <w:p>
      <w:pPr>
        <w:pStyle w:val="FirstParagraph"/>
      </w:pPr>
      <w:r>
        <w:rPr>
          <w:i/>
          <w:iCs/>
        </w:rPr>
        <w:t xml:space="preserve">[Ord. No. 08-31, 10-7-2009]</w:t>
      </w:r>
    </w:p>
    <w:p>
      <w:pPr>
        <w:pStyle w:val="BodyText"/>
      </w:pPr>
      <w:r>
        <w:t xml:space="preserve">A farm stand is a rustic, freestanding structure or vehicle used only for the seasonal sale of farm products as permitted by this appendix. Farm stands may be structures or may be motor vehicles, wagons or trailers.</w:t>
      </w:r>
    </w:p>
    <w:p>
      <w:pPr>
        <w:pStyle w:val="BodyText"/>
      </w:pPr>
      <w:r>
        <w:t xml:space="preserve">Farm stand structures, other than motor vehicles, shall not exceed 200 square feet in total floor area and be no greater than 12 feet in height.</w:t>
      </w:r>
    </w:p>
    <w:p>
      <w:pPr>
        <w:pStyle w:val="BodyText"/>
      </w:pPr>
      <w:r>
        <w:t xml:space="preserve">There shall be no space available to patrons inside the farm stand. Farm stands may provide, however, a front counter security shutter that lifts to form a canopy roof when open for business, to shield patrons from the weather. Yard setbacks shall be regulated by the appropriate dimensional regulations for accessory structures as provided for in this appendix.</w:t>
      </w:r>
    </w:p>
    <w:p>
      <w:pPr>
        <w:pStyle w:val="BodyText"/>
      </w:pPr>
      <w:r>
        <w:t xml:space="preserve">The floor area devoted to a farm stand shall not be considered to be in addition to any floor area permitted for a farm retail sales building as provided in § 7-4 above, but shall reduce such allowance accordingly.</w:t>
      </w:r>
    </w:p>
    <w:p>
      <w:pPr>
        <w:pStyle w:val="BodyText"/>
      </w:pPr>
      <w:r>
        <w:t xml:space="preserve">No electrical service shall be provided to any farm stand structure. Motorized vehicles may be provided with batteries as required for normal operation of a motor vehicle, but such electric service shall not be used for signs, outdoor lighting or refrigeration.</w:t>
      </w:r>
    </w:p>
    <w:p>
      <w:pPr>
        <w:pStyle w:val="BodyText"/>
      </w:pPr>
      <w:r>
        <w:t xml:space="preserve">Farm stands and farm retail sales buildings are permitted only upon the premises of a farm owned or leased by the licensee thereof.</w:t>
      </w:r>
    </w:p>
    <w:bookmarkEnd w:id="74"/>
    <w:bookmarkStart w:id="75" w:name="signs"/>
    <w:p>
      <w:pPr>
        <w:pStyle w:val="Heading2"/>
      </w:pPr>
      <w:r>
        <w:t xml:space="preserve">§ 7-7. Signs</w:t>
      </w:r>
    </w:p>
    <w:p>
      <w:pPr>
        <w:pStyle w:val="FirstParagraph"/>
      </w:pPr>
      <w:r>
        <w:rPr>
          <w:i/>
          <w:iCs/>
        </w:rPr>
        <w:t xml:space="preserve">[Ord. No. 08-31, 10-7-2009]</w:t>
      </w:r>
    </w:p>
    <w:p>
      <w:pPr>
        <w:pStyle w:val="BodyText"/>
      </w:pPr>
      <w:r>
        <w:t xml:space="preserve">Only one freestanding or wall-mounted sign shall be permitted for any farm retail sales building and/or farm stand per farm in any zoning district to identify a farm retail sales building and/or a farm stand. The maximum area of each sign shall be 12 square feet, notwithstanding other provisions of the zoning ordinance.</w:t>
      </w:r>
    </w:p>
    <w:bookmarkEnd w:id="75"/>
    <w:bookmarkStart w:id="76" w:name="off-street-parking-and-loading"/>
    <w:p>
      <w:pPr>
        <w:pStyle w:val="Heading2"/>
      </w:pPr>
      <w:r>
        <w:t xml:space="preserve">§ 7-8. Off-street parking and loading</w:t>
      </w:r>
    </w:p>
    <w:p>
      <w:pPr>
        <w:pStyle w:val="FirstParagraph"/>
      </w:pPr>
      <w:r>
        <w:rPr>
          <w:i/>
          <w:iCs/>
        </w:rPr>
        <w:t xml:space="preserve">[Ord. No. 08-31, 10-7-2009]</w:t>
      </w:r>
    </w:p>
    <w:p>
      <w:pPr>
        <w:pStyle w:val="BodyText"/>
      </w:pPr>
      <w:r>
        <w:t xml:space="preserve">Off-street parking for farm retail sales buildings and farm stands shall be one space per 100 square feet of floor area devoted to retail sales, with a minimum of five spaces provided. All such parking areas shall be set back from the property line at least 10 feet and shall be physically restricted or channeled on the lot to define a readily recognizable driveway between the roadway and the parking to accommodate safe ingress and egress. There shall be no parking along the public right-of-way. Parking areas for farm retail sales buildings and farm stands shall not be paved, but shall be constructed of a natural material.</w:t>
      </w:r>
    </w:p>
    <w:p>
      <w:pPr>
        <w:pStyle w:val="BodyText"/>
      </w:pPr>
      <w:r>
        <w:t xml:space="preserve">Adequate off-street loading areas shall be provided for retail sales in accordance with § 14-4 of this appendix. Said requirement may vary depending on the type of vehicles unloading at the site. No vehicle loading or unloading shall be permitted in a public right-of-way.</w:t>
      </w:r>
    </w:p>
    <w:bookmarkEnd w:id="76"/>
    <w:bookmarkStart w:id="77" w:name="historic-district-zoning"/>
    <w:p>
      <w:pPr>
        <w:pStyle w:val="Heading1"/>
      </w:pPr>
      <w:r>
        <w:t xml:space="preserve">§ 8. Historic District Zoning</w:t>
      </w:r>
    </w:p>
    <w:bookmarkEnd w:id="77"/>
    <w:bookmarkStart w:id="78" w:name="purposes-and-description"/>
    <w:p>
      <w:pPr>
        <w:pStyle w:val="Heading2"/>
      </w:pPr>
      <w:r>
        <w:t xml:space="preserve">§ 8-1. Purposes and description</w:t>
      </w:r>
    </w:p>
    <w:p>
      <w:pPr>
        <w:pStyle w:val="FirstParagraph"/>
      </w:pPr>
      <w:r>
        <w:rPr>
          <w:i/>
          <w:iCs/>
        </w:rPr>
        <w:t xml:space="preserve">[Ord. No. 08-31, 10-7-2009]</w:t>
      </w:r>
    </w:p>
    <w:p>
      <w:pPr>
        <w:pStyle w:val="BodyText"/>
      </w:pPr>
      <w:r>
        <w:t xml:space="preserve">Historic districts are overlay zoning districts which cover designated districts or structures within the Town of Cumberland. The purposes of historic districts are to:</w:t>
      </w:r>
    </w:p>
    <w:p>
      <w:pPr>
        <w:pStyle w:val="Compact"/>
        <w:numPr>
          <w:ilvl w:val="0"/>
          <w:numId w:val="1065"/>
        </w:numPr>
      </w:pPr>
      <w:r>
        <w:t xml:space="preserve">(a) Safeguard the heritage of the Town by preserving designated districts and structures of historic or architectural value which reflect elements of Cumberland's cultural, social, economic, political, and architectural history;</w:t>
      </w:r>
    </w:p>
    <w:p>
      <w:pPr>
        <w:pStyle w:val="Compact"/>
        <w:numPr>
          <w:ilvl w:val="0"/>
          <w:numId w:val="1065"/>
        </w:numPr>
      </w:pPr>
      <w:r>
        <w:t xml:space="preserve">(b) Stabilize and improve property values in such districts or designated structures;</w:t>
      </w:r>
    </w:p>
    <w:p>
      <w:pPr>
        <w:pStyle w:val="Compact"/>
        <w:numPr>
          <w:ilvl w:val="0"/>
          <w:numId w:val="1065"/>
        </w:numPr>
      </w:pPr>
      <w:r>
        <w:t xml:space="preserve">(c) Maintain and foster civic beauty;</w:t>
      </w:r>
    </w:p>
    <w:p>
      <w:pPr>
        <w:pStyle w:val="Compact"/>
        <w:numPr>
          <w:ilvl w:val="0"/>
          <w:numId w:val="1065"/>
        </w:numPr>
      </w:pPr>
      <w:r>
        <w:t xml:space="preserve">(d) Strengthen the economy; and</w:t>
      </w:r>
    </w:p>
    <w:p>
      <w:pPr>
        <w:pStyle w:val="Compact"/>
        <w:numPr>
          <w:ilvl w:val="0"/>
          <w:numId w:val="1065"/>
        </w:numPr>
      </w:pPr>
      <w:r>
        <w:t xml:space="preserve">(e) Promote the use of designated districts and structures for the education, pleasure and welfare of the citizens.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An historic district may include properties which are associated with broad patterns, events, and/or people significant in local, state or national history; which embody the distinctive characteristics of a broad range of building types and architectural styles; which possess high artistic value and/or represent the work of a master builder, architect, landscape architect or other designer; or which lack individual distinction but which add to the historic district zone's status as a significant and distinguishable sociocultural entity.</w:t>
            </w:r>
          </w:p>
        </w:tc>
      </w:tr>
    </w:tbl>
    <w:bookmarkEnd w:id="78"/>
    <w:bookmarkStart w:id="79" w:name="historic-districts"/>
    <w:p>
      <w:pPr>
        <w:pStyle w:val="Heading2"/>
      </w:pPr>
      <w:r>
        <w:t xml:space="preserve">§ 8-2. Historic districts</w:t>
      </w:r>
    </w:p>
    <w:p>
      <w:pPr>
        <w:pStyle w:val="FirstParagraph"/>
      </w:pPr>
      <w:r>
        <w:rPr>
          <w:i/>
          <w:iCs/>
        </w:rPr>
        <w:t xml:space="preserve">[Ord. No. 08-31, 10-7-2009]</w:t>
      </w:r>
    </w:p>
    <w:p>
      <w:pPr>
        <w:pStyle w:val="BodyText"/>
      </w:pPr>
      <w:r>
        <w:t xml:space="preserve">These overlay zoning districts are designated in accordance with Title 45, Chapter 24.1 of the General Laws of Rhode Island, as amended, which declares the preservation of structures of historic or architectural value to be a public purpose and authorizes the creation of the historic district commission (HDC) for that purpose in the Town of Cumberland. The regulations set forth in this article are intended to safeguard the heritage of the Town of Cumberland by establishing the following overlay districts:</w:t>
      </w:r>
    </w:p>
    <w:p>
      <w:pPr>
        <w:pStyle w:val="Compact"/>
        <w:numPr>
          <w:ilvl w:val="0"/>
          <w:numId w:val="1066"/>
        </w:numPr>
      </w:pPr>
      <w:r>
        <w:t xml:space="preserve">(a) Ashton Historic Overlay District.</w:t>
      </w:r>
    </w:p>
    <w:p>
      <w:pPr>
        <w:pStyle w:val="Compact"/>
        <w:numPr>
          <w:ilvl w:val="0"/>
          <w:numId w:val="1066"/>
        </w:numPr>
      </w:pPr>
      <w:r>
        <w:t xml:space="preserve">(b) Tower Hill Road Historic Overlay District.</w:t>
      </w:r>
    </w:p>
    <w:p>
      <w:pPr>
        <w:pStyle w:val="Compact"/>
        <w:numPr>
          <w:ilvl w:val="0"/>
          <w:numId w:val="1066"/>
        </w:numPr>
      </w:pPr>
      <w:r>
        <w:t xml:space="preserve">(c) Old West Wrentham Road Historic Overlay District.</w:t>
      </w:r>
    </w:p>
    <w:p>
      <w:pPr>
        <w:pStyle w:val="Compact"/>
        <w:numPr>
          <w:ilvl w:val="0"/>
          <w:numId w:val="1066"/>
        </w:numPr>
      </w:pPr>
      <w:r>
        <w:t xml:space="preserve">(d) Lonsdale Historic Overlay District.</w:t>
      </w:r>
    </w:p>
    <w:p>
      <w:pPr>
        <w:pStyle w:val="Compact"/>
        <w:numPr>
          <w:ilvl w:val="0"/>
          <w:numId w:val="1066"/>
        </w:numPr>
      </w:pPr>
      <w:r>
        <w:t xml:space="preserve">(e) Upper Scott Road Historic Overlay District.</w:t>
      </w:r>
    </w:p>
    <w:p>
      <w:pPr>
        <w:pStyle w:val="Compact"/>
        <w:numPr>
          <w:ilvl w:val="0"/>
          <w:numId w:val="1066"/>
        </w:numPr>
      </w:pPr>
      <w:r>
        <w:t xml:space="preserve">(f) Diamond Hill Road Historic Overlay District.</w:t>
      </w:r>
    </w:p>
    <w:p>
      <w:pPr>
        <w:pStyle w:val="Compact"/>
        <w:numPr>
          <w:ilvl w:val="0"/>
          <w:numId w:val="1066"/>
        </w:numPr>
      </w:pPr>
      <w:r>
        <w:t xml:space="preserve">(g) Town Hall Historic Overlay District.</w:t>
      </w:r>
    </w:p>
    <w:p>
      <w:pPr>
        <w:numPr>
          <w:ilvl w:val="0"/>
          <w:numId w:val="1066"/>
        </w:numPr>
      </w:pPr>
      <w:r>
        <w:t xml:space="preserve">(h) Landmark Buildings Historic District.</w:t>
      </w:r>
    </w:p>
    <w:p>
      <w:pPr>
        <w:numPr>
          <w:ilvl w:val="0"/>
          <w:numId w:val="1000"/>
        </w:numPr>
      </w:pPr>
      <w:r>
        <w:rPr>
          <w:i/>
          <w:iCs/>
        </w:rPr>
        <w:t xml:space="preserve">[Added 5-20-2020 by Ord. No. 20-10-A]</w:t>
      </w:r>
    </w:p>
    <w:p>
      <w:pPr>
        <w:numPr>
          <w:ilvl w:val="0"/>
          <w:numId w:val="1066"/>
        </w:numPr>
      </w:pPr>
      <w:r>
        <w:t xml:space="preserve">(i) Arnold Mills Historic District.</w:t>
      </w:r>
    </w:p>
    <w:p>
      <w:pPr>
        <w:numPr>
          <w:ilvl w:val="0"/>
          <w:numId w:val="1000"/>
        </w:numPr>
      </w:pPr>
      <w:r>
        <w:rPr>
          <w:i/>
          <w:iCs/>
        </w:rPr>
        <w:t xml:space="preserve">[Added 7-19-2023 by Ord. No. 23-13]</w:t>
      </w:r>
    </w:p>
    <w:bookmarkEnd w:id="79"/>
    <w:bookmarkStart w:id="80" w:name="historic-district-commission-membership"/>
    <w:p>
      <w:pPr>
        <w:pStyle w:val="Heading2"/>
      </w:pPr>
      <w:r>
        <w:t xml:space="preserve">§ 8-3. Historic District Commission — Membership</w:t>
      </w:r>
    </w:p>
    <w:p>
      <w:pPr>
        <w:pStyle w:val="FirstParagraph"/>
      </w:pPr>
      <w:r>
        <w:rPr>
          <w:i/>
          <w:iCs/>
        </w:rPr>
        <w:t xml:space="preserve">[Ord. No. 08-31, 10-7-2009]</w:t>
      </w:r>
    </w:p>
    <w:p>
      <w:pPr>
        <w:pStyle w:val="BodyText"/>
      </w:pPr>
      <w:r>
        <w:t xml:space="preserve">The historic district commission, hereinafter known as the HDC, shall administer the historic district and perform such duties as to promote historic preservation in Cumberland.</w:t>
      </w:r>
    </w:p>
    <w:p>
      <w:pPr>
        <w:pStyle w:val="Compact"/>
        <w:numPr>
          <w:ilvl w:val="0"/>
          <w:numId w:val="1067"/>
        </w:numPr>
      </w:pPr>
      <w:r>
        <w:t xml:space="preserve">(a) Qualifications. Members of the HDC shall have demonstrated a general interest in historic preservation, and may be drawn from, but not be limited to the following professions and disciplines: American history, architectural history, landscape design, architecture, archeology, preservation, law, real estate, planning or historic building contracting.</w:t>
      </w:r>
    </w:p>
    <w:p>
      <w:pPr>
        <w:pStyle w:val="Compact"/>
        <w:numPr>
          <w:ilvl w:val="0"/>
          <w:numId w:val="1067"/>
        </w:numPr>
      </w:pPr>
      <w:r>
        <w:t xml:space="preserve">(b) Term. The HDC shall consist of seven qualified members who shall reside in the Town. The members shall be appointed by the Town Council to serve for terms ending as follows:</w:t>
      </w:r>
    </w:p>
    <w:p>
      <w:pPr>
        <w:pStyle w:val="Compact"/>
        <w:numPr>
          <w:ilvl w:val="1"/>
          <w:numId w:val="1068"/>
        </w:numPr>
      </w:pPr>
      <w:r>
        <w:t xml:space="preserve">(1) Two members shall serve an initial term of one year from the date of their first appointment.</w:t>
      </w:r>
    </w:p>
    <w:p>
      <w:pPr>
        <w:pStyle w:val="Compact"/>
        <w:numPr>
          <w:ilvl w:val="1"/>
          <w:numId w:val="1068"/>
        </w:numPr>
      </w:pPr>
      <w:r>
        <w:t xml:space="preserve">(2) Two members shall serve an initial term of two years from the date of their first appointment.</w:t>
      </w:r>
    </w:p>
    <w:p>
      <w:pPr>
        <w:pStyle w:val="Compact"/>
        <w:numPr>
          <w:ilvl w:val="1"/>
          <w:numId w:val="1068"/>
        </w:numPr>
      </w:pPr>
      <w:r>
        <w:t xml:space="preserve">(3) Three members shall serve a term of three years from the date of his/her first appointment.</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Thereafter all members shall serve for terms of three years in accordance with state law and shall be eligible for reappointment. Upon expiration of said term, appointed members shall continue to serve until a successor is appointed.</w:t>
            </w:r>
          </w:p>
        </w:tc>
      </w:tr>
    </w:tbl>
    <w:p>
      <w:pPr>
        <w:pStyle w:val="Compact"/>
        <w:numPr>
          <w:ilvl w:val="0"/>
          <w:numId w:val="1067"/>
        </w:numPr>
      </w:pPr>
      <w:r>
        <w:t xml:space="preserve">(c) Auxiliary member. The Town Council shall have the right to name an auxiliary member to the HDC in addition to the regular members, which auxiliary member shall sit as an active member, upon the request of the chair when and if a regular member is unable to serve at any meeting of the HDC.</w:t>
      </w:r>
    </w:p>
    <w:p>
      <w:pPr>
        <w:pStyle w:val="Compact"/>
        <w:numPr>
          <w:ilvl w:val="0"/>
          <w:numId w:val="1067"/>
        </w:numPr>
      </w:pPr>
      <w:r>
        <w:t xml:space="preserve">(d) Vacancy. In the event of a vacancy on the HDC, the Town Council shall make an interim appointment to fill the unexpired term(s) of such member(s). Vacancies shall be filled within 90 days.</w:t>
      </w:r>
    </w:p>
    <w:p>
      <w:pPr>
        <w:pStyle w:val="Compact"/>
        <w:numPr>
          <w:ilvl w:val="0"/>
          <w:numId w:val="1067"/>
        </w:numPr>
      </w:pPr>
      <w:r>
        <w:t xml:space="preserve">(e) Organization. The HDC shall organize annually and elect its officers, which shall include a chair and a vice-chair, elected from among its membership. The department of planning and community development shall assign staff to work with the HDC.</w:t>
      </w:r>
    </w:p>
    <w:bookmarkEnd w:id="80"/>
    <w:bookmarkStart w:id="81" w:name="conduct-of-business-of-the-hdc"/>
    <w:p>
      <w:pPr>
        <w:pStyle w:val="Heading2"/>
      </w:pPr>
      <w:r>
        <w:t xml:space="preserve">§ 8-4. Conduct of business of the HDC</w:t>
      </w:r>
    </w:p>
    <w:p>
      <w:pPr>
        <w:pStyle w:val="FirstParagraph"/>
      </w:pPr>
      <w:r>
        <w:rPr>
          <w:i/>
          <w:iCs/>
        </w:rPr>
        <w:t xml:space="preserve">[Ord. No. 08-31, 10-7-2009]</w:t>
      </w:r>
    </w:p>
    <w:p>
      <w:pPr>
        <w:pStyle w:val="BodyText"/>
      </w:pPr>
      <w:r>
        <w:t xml:space="preserve">The chair shall preside over all HDC meetings and shall have the right to vote. The vice-chair shall, in the case of absence or disability of the chair, perform the duties of the chair.</w:t>
      </w:r>
    </w:p>
    <w:p>
      <w:pPr>
        <w:pStyle w:val="Compact"/>
        <w:numPr>
          <w:ilvl w:val="0"/>
          <w:numId w:val="1069"/>
        </w:numPr>
      </w:pPr>
      <w:r>
        <w:t xml:space="preserve">(a) Meetings. All meetings of the HDC shall be open to the public and any person, organization or duly authorized representative shall be entitled to appear and be heard on any matter before the HDC reaches its decision. All meetings shall be posted in accordance with the open meeting laws of the State of Rhode Island.</w:t>
      </w:r>
    </w:p>
    <w:p>
      <w:pPr>
        <w:pStyle w:val="Compact"/>
        <w:numPr>
          <w:ilvl w:val="0"/>
          <w:numId w:val="1069"/>
        </w:numPr>
      </w:pPr>
      <w:r>
        <w:t xml:space="preserve">(b) Record. The HDC shall keep a taped or stenographic record of all meetings and a written record of all resolutions, proceedings, findings, decisions and actions, and all such records shall be open to the public.</w:t>
      </w:r>
    </w:p>
    <w:p>
      <w:pPr>
        <w:pStyle w:val="Compact"/>
        <w:numPr>
          <w:ilvl w:val="0"/>
          <w:numId w:val="1069"/>
        </w:numPr>
      </w:pPr>
      <w:r>
        <w:t xml:space="preserve">(c) Quorum. A quorum shall be necessary for business to be conducted before the HDC. A majority of the duly appointed members shall constitute a quorum.</w:t>
      </w:r>
    </w:p>
    <w:bookmarkEnd w:id="81"/>
    <w:bookmarkStart w:id="82" w:name="powers-and-duties-of-the-hdc"/>
    <w:p>
      <w:pPr>
        <w:pStyle w:val="Heading2"/>
      </w:pPr>
      <w:r>
        <w:t xml:space="preserve">§ 8-5. Powers and duties of the HDC</w:t>
      </w:r>
    </w:p>
    <w:p>
      <w:pPr>
        <w:pStyle w:val="FirstParagraph"/>
      </w:pPr>
      <w:r>
        <w:rPr>
          <w:i/>
          <w:iCs/>
        </w:rPr>
        <w:t xml:space="preserve">[Ord. No. 08-31, 10-7-2009]</w:t>
      </w:r>
    </w:p>
    <w:p>
      <w:pPr>
        <w:pStyle w:val="BodyText"/>
      </w:pPr>
      <w:r>
        <w:t xml:space="preserve">The HDC shall have the following powers and duties:</w:t>
      </w:r>
    </w:p>
    <w:p>
      <w:pPr>
        <w:pStyle w:val="Compact"/>
        <w:numPr>
          <w:ilvl w:val="0"/>
          <w:numId w:val="1070"/>
        </w:numPr>
      </w:pPr>
      <w:r>
        <w:t xml:space="preserve">(a) Regulation of development in historic districts. The HDC shall be authorized to regulate the construction, demolition, change in any exterior structure and/or appurtenance within any historic district identified on the overlay zoning district map of the official zoning map adopted in accordance with this appendix and identified herein.</w:t>
      </w:r>
    </w:p>
    <w:p>
      <w:pPr>
        <w:pStyle w:val="Compact"/>
        <w:numPr>
          <w:ilvl w:val="0"/>
          <w:numId w:val="1070"/>
        </w:numPr>
      </w:pPr>
      <w:r>
        <w:t xml:space="preserve">(b) Adoption of rules. The HDC shall, within 90 days of its first meeting, adopt and publish written rules and regulations, as provided in the Rhode Island Historical Preservation Commission's report entitled Easy Guide to Rehab Standards, dated 1992, (hereinafter known to as "RIHPC Standards") necessary to carry out its functions under the provisions of this article. All such rules and regulations, and any amendments thereto, shall be available to the public.</w:t>
      </w:r>
    </w:p>
    <w:p>
      <w:pPr>
        <w:pStyle w:val="Compact"/>
        <w:numPr>
          <w:ilvl w:val="0"/>
          <w:numId w:val="1070"/>
        </w:numPr>
      </w:pPr>
      <w:r>
        <w:t xml:space="preserve">(c) Adoption of standards and guidelines. The HDC shall, within 90 days of its first meeting, adopt and publish standards and guidelines as necessary to inform historic district residents, property owners, and the general public of those criteria by which the HDC shall determine whether to issue a certificate of appropriateness. The standards and guidelines shall insure that consideration is given to the historic and architectural significance of the district, the structure and its appurtenances; the way in which the structure and its appurtenances contribute to the historical and architectural significance of the district; and the appropriateness of the general design, arrangement, texture, materials, and siting proposed in the plans for both new and existing structures and appurtenances. The HDC may incorporate by reference in its rules and regulations such other standards as are appropriate, including, but not limited to the Standards and Guidelines for Rehabilitation adopted by the United States Secretary of the Interior. The HDC may from time to time amend its standards as reasonably necessary, and it shall publish all such amendments to remain in compliance with the RIHPC Standards.</w:t>
      </w:r>
    </w:p>
    <w:p>
      <w:pPr>
        <w:pStyle w:val="Compact"/>
        <w:numPr>
          <w:ilvl w:val="0"/>
          <w:numId w:val="1070"/>
        </w:numPr>
      </w:pPr>
      <w:r>
        <w:t xml:space="preserve">(d) Issuance of certificate of appropriateness. The HDC shall be authorized to issue certificates of appropriateness for projects that conform to the requirements of this appendix and the standards and guidelines adopted by the HDC. A certificate of appropriateness may be issued by the HDC indicating approval of plans for alteration, construction, repair, removal or demolition of a structure or appurtenances of a structure within an historic district. "Appropriate" for the purposes of passing upon an application for a certificate of appropriateness means not incongruous with those aspects of the structure, appurtenances, or the district which the HDC has determined to be historically or architecturally significant.</w:t>
      </w:r>
    </w:p>
    <w:p>
      <w:pPr>
        <w:pStyle w:val="Compact"/>
        <w:numPr>
          <w:ilvl w:val="0"/>
          <w:numId w:val="1070"/>
        </w:numPr>
      </w:pPr>
      <w:r>
        <w:t xml:space="preserve">(e) Provision of advice to other agencies. In order to assist the Town on matters of historic preservation, the HDC may provide its expertise and advice to agencies of Town government as appropriate.</w:t>
      </w:r>
    </w:p>
    <w:p>
      <w:pPr>
        <w:pStyle w:val="Compact"/>
        <w:numPr>
          <w:ilvl w:val="0"/>
          <w:numId w:val="1070"/>
        </w:numPr>
      </w:pPr>
      <w:r>
        <w:t xml:space="preserve">(f) Inspection of work in progress. The HDC or its designee may inspect work in progress after a certificate of appropriateness has been issued to insure that work is proceeding in accordance with the approval received. If the HDC finds that the work in progress does not conform to the certificate of appropriateness, the HDC shall advise the zoning enforcement officer, who shall enforce the requirements of the certificate of appropriateness in accordance with Article 17 of this appendix.</w:t>
      </w:r>
    </w:p>
    <w:bookmarkEnd w:id="82"/>
    <w:bookmarkStart w:id="83" w:name="certificate-of-appropriateness"/>
    <w:p>
      <w:pPr>
        <w:pStyle w:val="Heading2"/>
      </w:pPr>
      <w:r>
        <w:t xml:space="preserve">§ 8-6. Certificate of appropriateness</w:t>
      </w:r>
    </w:p>
    <w:p>
      <w:pPr>
        <w:pStyle w:val="FirstParagraph"/>
      </w:pPr>
      <w:r>
        <w:rPr>
          <w:i/>
          <w:iCs/>
        </w:rPr>
        <w:t xml:space="preserve">[Ord. No. 08-31, 10-7-2009]</w:t>
      </w:r>
    </w:p>
    <w:p>
      <w:pPr>
        <w:pStyle w:val="BodyText"/>
      </w:pPr>
      <w:r>
        <w:t xml:space="preserve">Before a property owner commences construction, alteration, repair, removal or demolition of any existing structure or its appurtenances within a historic district overlay zone, the owner must first apply for and receive a certificate of appropriateness from the HDC. Upon application to the Building Official for a permit, the Building Official shall determine whether or not the property or parcel in question is within the historic district. If it is, the applicant shall be referred to the HDC for determination of jurisdiction for a certificate of appropriateness. A certificate of appropriateness is not a substitute for a building permit.</w:t>
      </w:r>
    </w:p>
    <w:p>
      <w:pPr>
        <w:pStyle w:val="Compact"/>
        <w:numPr>
          <w:ilvl w:val="0"/>
          <w:numId w:val="1071"/>
        </w:numPr>
      </w:pPr>
      <w:r>
        <w:t xml:space="preserve">(a) Application for certificate of appropriateness. The HDC shall require the owner to submit information which is reasonably necessary to evaluate the proposed construction, alteration, repair, removal or demolition including, but not limited to, plans and site plans, drawings and elevations, photographs, or other information.</w:t>
      </w:r>
    </w:p>
    <w:p>
      <w:pPr>
        <w:pStyle w:val="Compact"/>
        <w:numPr>
          <w:ilvl w:val="0"/>
          <w:numId w:val="1071"/>
        </w:numPr>
      </w:pPr>
      <w:r>
        <w:t xml:space="preserve">(b) Hearing. The HDC shall hold a public hearing on an application for a certificate of appropriateness. Notice of such hearing shall be mailed to all abutting property owners, at least 10 days prior to the public meeting, by regular mail. The applicant shall supply the HDC with a list of the names and addresses of all abutting property owners from the most current records of the Town Assessor.</w:t>
      </w:r>
    </w:p>
    <w:p>
      <w:pPr>
        <w:pStyle w:val="Compact"/>
        <w:numPr>
          <w:ilvl w:val="0"/>
          <w:numId w:val="1071"/>
        </w:numPr>
      </w:pPr>
      <w:r>
        <w:t xml:space="preserve">(c) Filing fee. An application for a certificate of appropriateness shall be accompanied by a filing fee as set by the Town Council which shall be deposited with the Town treasurer and no part of which shall be returned to the applicant. Such fees shall be used solely to defray administrative costs related to the HDC's activities. These include postage, printing of standards and guidelines and hiring expert consultants and witnesses.</w:t>
      </w:r>
    </w:p>
    <w:bookmarkEnd w:id="83"/>
    <w:bookmarkStart w:id="84" w:name="standards-and-guidelines"/>
    <w:p>
      <w:pPr>
        <w:pStyle w:val="Heading2"/>
      </w:pPr>
      <w:r>
        <w:t xml:space="preserve">§ 8-7. Standards and guidelines</w:t>
      </w:r>
    </w:p>
    <w:p>
      <w:pPr>
        <w:pStyle w:val="FirstParagraph"/>
      </w:pPr>
      <w:r>
        <w:rPr>
          <w:i/>
          <w:iCs/>
        </w:rPr>
        <w:t xml:space="preserve">[Ord. No. 08-31, 10-7-2009]</w:t>
      </w:r>
    </w:p>
    <w:p>
      <w:pPr>
        <w:pStyle w:val="BodyText"/>
      </w:pPr>
      <w:r>
        <w:t xml:space="preserve">The HDC shall evaluate all applications in accordance with the criteria established in the standards and guidelines adopted in accordance with subsection 8-5(c) of this article. The HDC shall act only on exterior features of a structure and its appurtenances. In reviewing an application for a certificate of appropriateness, the HDC shall have the power to call in experts to aid in its deliberations, and may incorporate the conclusions of such experts in its decisions.</w:t>
      </w:r>
    </w:p>
    <w:bookmarkEnd w:id="84"/>
    <w:bookmarkStart w:id="85" w:name="decisions-of-the-hdc"/>
    <w:p>
      <w:pPr>
        <w:pStyle w:val="Heading2"/>
      </w:pPr>
      <w:r>
        <w:t xml:space="preserve">§ 8-8. Decisions of the HDC</w:t>
      </w:r>
    </w:p>
    <w:p>
      <w:pPr>
        <w:pStyle w:val="FirstParagraph"/>
      </w:pPr>
      <w:r>
        <w:rPr>
          <w:i/>
          <w:iCs/>
        </w:rPr>
        <w:t xml:space="preserve">[Ord. No. 08-31, 10-7-2009]</w:t>
      </w:r>
    </w:p>
    <w:p>
      <w:pPr>
        <w:pStyle w:val="BodyText"/>
      </w:pPr>
      <w:r>
        <w:t xml:space="preserve">All decisions of the HDC regarding the issuance of a certificate of appropriateness shall be in writing. The HDC shall articulate and explain the reasons and basis of each decision on the record. An application for a certificate of appropriateness may be approved, denied, or approved with amendment by the HDC. When denying an application for a certificate of appropriateness, the HDC shall include the basis for its conclusion that the proposed activity would be incongruous with those aspects of the structure, appurtenances, or the district. The HDC shall send a copy of the decision to the applicant. The action taken by the HDC shall be binding on the zoning enforcement officer. No application shall be denied or granted by the HDC without a hearing. An application for the same petition shall not be heard by the HDC for the period of one year from the date the original petition was denied. The HDC shall have the right to waive this requirement for any petition if a majority of the HDC present at a meeting agrees.</w:t>
      </w:r>
    </w:p>
    <w:bookmarkEnd w:id="85"/>
    <w:bookmarkStart w:id="86" w:name="failure-of-the-hdc-to-act"/>
    <w:p>
      <w:pPr>
        <w:pStyle w:val="Heading2"/>
      </w:pPr>
      <w:r>
        <w:t xml:space="preserve">§ 8-9. Failure of the HDC to act</w:t>
      </w:r>
    </w:p>
    <w:p>
      <w:pPr>
        <w:pStyle w:val="FirstParagraph"/>
      </w:pPr>
      <w:r>
        <w:rPr>
          <w:i/>
          <w:iCs/>
        </w:rPr>
        <w:t xml:space="preserve">[Ord. No. 08-31, 10-7-2009]</w:t>
      </w:r>
    </w:p>
    <w:p>
      <w:pPr>
        <w:pStyle w:val="BodyText"/>
      </w:pPr>
      <w:r>
        <w:t xml:space="preserve">The failure of the HDC to act within 45 days from the date of the filing of a completed application shall be deemed to constitute approval. However, in the event that the HDC shall make a written finding of fact within this forty-five-day period that the circumstances of a particular application requires further time for additional study and information, then the HDC shall have a period of up to 90 days from the date of filing a completed application within which to act upon such application. Nothing in this section shall be construed to prevent the applicant and the HDC from mutually agreeing on an extension.</w:t>
      </w:r>
    </w:p>
    <w:bookmarkEnd w:id="86"/>
    <w:bookmarkStart w:id="87" w:name="special-criteria-for-demolition"/>
    <w:p>
      <w:pPr>
        <w:pStyle w:val="Heading2"/>
      </w:pPr>
      <w:r>
        <w:t xml:space="preserve">§ 8-10. Special criteria for demolition</w:t>
      </w:r>
    </w:p>
    <w:p>
      <w:pPr>
        <w:pStyle w:val="FirstParagraph"/>
      </w:pPr>
      <w:r>
        <w:rPr>
          <w:i/>
          <w:iCs/>
        </w:rPr>
        <w:t xml:space="preserve">[Ord. No. 08-31, 10-7-2009]</w:t>
      </w:r>
    </w:p>
    <w:p>
      <w:pPr>
        <w:pStyle w:val="BodyText"/>
      </w:pPr>
      <w:r>
        <w:t xml:space="preserve">In order to preserve the historic fabric of the Town, demolition of historic properties shall be discouraged. When reviewing an application for a certificate of appropriateness to demolish an historic structure or appurtenance, the HDC shall consider, in addition to the provisions of the adopted standards and guidelines, the listing of a structure in the National Register of Historic Places. In the case of an application for demolition of any structure, appurtenance or a portion of a structure listed on the National Register of Historic Places, the HDC shall endeavor to work out with the owner an economically feasible plan for the preservation of such structure on its present site. The HDC shall issue a certificate of appropriateness only if the HDC finds that at least one of the following exists:</w:t>
      </w:r>
    </w:p>
    <w:p>
      <w:pPr>
        <w:pStyle w:val="Compact"/>
        <w:numPr>
          <w:ilvl w:val="0"/>
          <w:numId w:val="1072"/>
        </w:numPr>
      </w:pPr>
      <w:r>
        <w:t xml:space="preserve">(a) Retention of such structure constitutes a hazard to public safety which hazard cannot be eliminated by economic means available to the owner, including sale of the structure on its present site to any purchaser willing to preserve such structure; or</w:t>
      </w:r>
    </w:p>
    <w:p>
      <w:pPr>
        <w:pStyle w:val="Compact"/>
        <w:numPr>
          <w:ilvl w:val="0"/>
          <w:numId w:val="1072"/>
        </w:numPr>
      </w:pPr>
      <w:r>
        <w:t xml:space="preserve">(b) Preservation of such structure is a deterrent to a major improvement program which will be of substantial benefit to the community; or</w:t>
      </w:r>
    </w:p>
    <w:p>
      <w:pPr>
        <w:pStyle w:val="Compact"/>
        <w:numPr>
          <w:ilvl w:val="0"/>
          <w:numId w:val="1072"/>
        </w:numPr>
      </w:pPr>
      <w:r>
        <w:t xml:space="preserve">(c) Preservation of such structure would cause undue or unreasonable financial hardship to the owner, taking into account the financial resources available to the owner including sale of the structure to any purchaser willing to preserve such structure; or</w:t>
      </w:r>
    </w:p>
    <w:p>
      <w:pPr>
        <w:pStyle w:val="Compact"/>
        <w:numPr>
          <w:ilvl w:val="0"/>
          <w:numId w:val="1072"/>
        </w:numPr>
      </w:pPr>
      <w:r>
        <w:t xml:space="preserve">(d) Preservation of such structure would not be in the interest of the majority of the community.</w:t>
      </w:r>
    </w:p>
    <w:bookmarkEnd w:id="87"/>
    <w:bookmarkStart w:id="88" w:name="alternatives-to-demolition"/>
    <w:p>
      <w:pPr>
        <w:pStyle w:val="Heading2"/>
      </w:pPr>
      <w:r>
        <w:t xml:space="preserve">§ 8-11. Alternatives to demolition</w:t>
      </w:r>
    </w:p>
    <w:p>
      <w:pPr>
        <w:pStyle w:val="FirstParagraph"/>
      </w:pPr>
      <w:r>
        <w:rPr>
          <w:i/>
          <w:iCs/>
        </w:rPr>
        <w:t xml:space="preserve">[Ord. No. 08-31, 10-7-2009]</w:t>
      </w:r>
    </w:p>
    <w:p>
      <w:pPr>
        <w:pStyle w:val="BodyText"/>
      </w:pPr>
      <w:r>
        <w:t xml:space="preserve">The HDC shall assist the owner in identifying and evaluating alternatives to demolition, including sale of the structure on its present site. When considering an application to demolish a structure of historic or architectural value, in addition to any other criteria, the HDC shall consider the following:</w:t>
      </w:r>
    </w:p>
    <w:p>
      <w:pPr>
        <w:pStyle w:val="Compact"/>
        <w:numPr>
          <w:ilvl w:val="0"/>
          <w:numId w:val="1073"/>
        </w:numPr>
      </w:pPr>
      <w:r>
        <w:t xml:space="preserve">(a) Whether there is a reasonable likelihood that some person or group other than the current owner is willing to purchase, move and preserve such structure; and</w:t>
      </w:r>
    </w:p>
    <w:p>
      <w:pPr>
        <w:pStyle w:val="Compact"/>
        <w:numPr>
          <w:ilvl w:val="0"/>
          <w:numId w:val="1073"/>
        </w:numPr>
      </w:pPr>
      <w:r>
        <w:t xml:space="preserve">(b) Whether the owner has made continuing, bona fide and reasonable efforts to sell the structure to any such purchaser willing to move or preserve such structure.</w:t>
      </w:r>
    </w:p>
    <w:bookmarkEnd w:id="88"/>
    <w:bookmarkStart w:id="89" w:name="appeals-and-enforcement"/>
    <w:p>
      <w:pPr>
        <w:pStyle w:val="Heading2"/>
      </w:pPr>
      <w:r>
        <w:t xml:space="preserve">§ 8-12. Appeals and enforcement</w:t>
      </w:r>
    </w:p>
    <w:p>
      <w:pPr>
        <w:pStyle w:val="FirstParagraph"/>
      </w:pPr>
      <w:r>
        <w:rPr>
          <w:i/>
          <w:iCs/>
        </w:rPr>
        <w:t xml:space="preserve">[Ord. No. 08-31, 10-7-2009]</w:t>
      </w:r>
    </w:p>
    <w:p>
      <w:pPr>
        <w:pStyle w:val="Compact"/>
        <w:numPr>
          <w:ilvl w:val="0"/>
          <w:numId w:val="1074"/>
        </w:numPr>
      </w:pPr>
      <w:r>
        <w:t xml:space="preserve">(a) Appeals. A person or persons jointly or severally aggrieved by a decision of the HDC shall have the right to appeal the decision to the board. When hearing appeals from HDC decisions, the board shall not substitute its own judgment for that of the HDC, but must consider the issue upon the findings and record of the HDC. The board shall not reverse an HDC decision except on a finding of prejudicial procedural error, clear error, or lack of support by the weight of the evidence in the record. The board shall file a written decision explaining the basis of each decision for the record, and the board shall send a copy of the decision to the applicant and to the HDC. The filing fee and the filing procedure for an appeal of the decision of the HDC shall be the same as that for an appeal of the decision of the zoning official.</w:t>
      </w:r>
    </w:p>
    <w:p>
      <w:pPr>
        <w:pStyle w:val="Compact"/>
        <w:numPr>
          <w:ilvl w:val="0"/>
          <w:numId w:val="1074"/>
        </w:numPr>
      </w:pPr>
      <w:r>
        <w:t xml:space="preserve">(b) Enforcement. This regulation shall be enforced in accordance with Article 17 of this appendix.</w:t>
      </w:r>
    </w:p>
    <w:bookmarkEnd w:id="89"/>
    <w:bookmarkStart w:id="90" w:name="special-districts"/>
    <w:p>
      <w:pPr>
        <w:pStyle w:val="Heading1"/>
      </w:pPr>
      <w:r>
        <w:t xml:space="preserve">§ 9. Special Districts</w:t>
      </w:r>
    </w:p>
    <w:bookmarkEnd w:id="90"/>
    <w:bookmarkStart w:id="91" w:name="overlay-zoning-districts"/>
    <w:p>
      <w:pPr>
        <w:pStyle w:val="Heading2"/>
      </w:pPr>
      <w:r>
        <w:t xml:space="preserve">§ 9-1. Overlay zoning districts</w:t>
      </w:r>
    </w:p>
    <w:p>
      <w:pPr>
        <w:pStyle w:val="FirstParagraph"/>
      </w:pPr>
      <w:r>
        <w:rPr>
          <w:i/>
          <w:iCs/>
        </w:rPr>
        <w:t xml:space="preserve">[Ord. No. 08-31, 10-7-2009]</w:t>
      </w:r>
    </w:p>
    <w:p>
      <w:pPr>
        <w:pStyle w:val="BodyText"/>
      </w:pPr>
      <w:r>
        <w:t xml:space="preserve">Overlay zoning districts are hereby established to regulate areas and structures of historical significance, provide for development review, agricultural/residential clusters, and village overlay districts. These regulations are necessary to meet the purposes set forth in § 1-1 of this appendix. The boundaries of the overlay zoning districts are as shown on the overlay zoning district map of the Cumberland Plats, the official zoning map of the Town. These boundaries may be amended in accordance with Article 9 of this appendix.</w:t>
      </w:r>
    </w:p>
    <w:bookmarkEnd w:id="91"/>
    <w:bookmarkStart w:id="92" w:name="special-districts-1"/>
    <w:p>
      <w:pPr>
        <w:pStyle w:val="Heading2"/>
      </w:pPr>
      <w:r>
        <w:t xml:space="preserve">§ 9-2. Special districts</w:t>
      </w:r>
    </w:p>
    <w:p>
      <w:pPr>
        <w:pStyle w:val="FirstParagraph"/>
      </w:pPr>
      <w:r>
        <w:rPr>
          <w:i/>
          <w:iCs/>
        </w:rPr>
        <w:t xml:space="preserve">[Ord. No. 08-31, 10-7-2009]</w:t>
      </w:r>
    </w:p>
    <w:p>
      <w:pPr>
        <w:pStyle w:val="BodyText"/>
      </w:pPr>
      <w:r>
        <w:t xml:space="preserve">Special districts, as allowed in this article, are intended to allow developments which would otherwise not be permitted, in order to further the purposes of this appendix and the goals and policies of the Cumberland Comprehensive Plan. All special districts shall require an amendment to the official zoning map of the Town of Cumberland, and may require an amendment to the comprehensive plan.</w:t>
      </w:r>
    </w:p>
    <w:bookmarkEnd w:id="92"/>
    <w:bookmarkStart w:id="93" w:name="mixed-use-special-district"/>
    <w:p>
      <w:pPr>
        <w:pStyle w:val="Heading2"/>
      </w:pPr>
      <w:r>
        <w:t xml:space="preserve">§ 9-3. Mixed-use special district</w:t>
      </w:r>
    </w:p>
    <w:p>
      <w:pPr>
        <w:pStyle w:val="FirstParagraph"/>
      </w:pPr>
      <w:r>
        <w:rPr>
          <w:i/>
          <w:iCs/>
        </w:rPr>
        <w:t xml:space="preserve">[Ord. No. 08-31, 10-7-2009]</w:t>
      </w:r>
    </w:p>
    <w:p>
      <w:pPr>
        <w:pStyle w:val="BodyText"/>
      </w:pPr>
      <w:r>
        <w:t xml:space="preserve">A mixed-use special district (MUSD) is a district which consists of a parcel or parcels of land developed according to a plan, and in accordance with the provisions of this section.</w:t>
      </w:r>
    </w:p>
    <w:p>
      <w:pPr>
        <w:pStyle w:val="Compact"/>
        <w:numPr>
          <w:ilvl w:val="0"/>
          <w:numId w:val="1075"/>
        </w:numPr>
      </w:pPr>
      <w:r>
        <w:t xml:space="preserve">(a) Purposes. The establishment of a mixed-use special district may be allowed by the Town in order to achieve the following purposes:</w:t>
      </w:r>
    </w:p>
    <w:p>
      <w:pPr>
        <w:pStyle w:val="Compact"/>
        <w:numPr>
          <w:ilvl w:val="1"/>
          <w:numId w:val="1076"/>
        </w:numPr>
      </w:pPr>
      <w:r>
        <w:t xml:space="preserve">(1) Allow a mixture of uses on a single parcel of land which are coordinated harmoniously and share services and facilities;</w:t>
      </w:r>
    </w:p>
    <w:p>
      <w:pPr>
        <w:pStyle w:val="Compact"/>
        <w:numPr>
          <w:ilvl w:val="1"/>
          <w:numId w:val="1076"/>
        </w:numPr>
      </w:pPr>
      <w:r>
        <w:t xml:space="preserve">(2) Promote attractive, efficient development through careful site planning which protects and enhances special features and requires a minimum amount of open space;</w:t>
      </w:r>
    </w:p>
    <w:p>
      <w:pPr>
        <w:pStyle w:val="Compact"/>
        <w:numPr>
          <w:ilvl w:val="1"/>
          <w:numId w:val="1076"/>
        </w:numPr>
      </w:pPr>
      <w:r>
        <w:t xml:space="preserve">(3) Provide opportunities for economic development that are compatible in scale and character with the historic development pattern of the Town; and</w:t>
      </w:r>
    </w:p>
    <w:p>
      <w:pPr>
        <w:pStyle w:val="Compact"/>
        <w:numPr>
          <w:ilvl w:val="1"/>
          <w:numId w:val="1076"/>
        </w:numPr>
      </w:pPr>
      <w:r>
        <w:t xml:space="preserve">(4) Provide opportunities for affordable housing.</w:t>
      </w:r>
    </w:p>
    <w:p>
      <w:pPr>
        <w:pStyle w:val="Compact"/>
        <w:numPr>
          <w:ilvl w:val="0"/>
          <w:numId w:val="1075"/>
        </w:numPr>
      </w:pPr>
      <w:r>
        <w:t xml:space="preserve">(b) Applicability. A mixed-use special district may be established within any zoning district by action of the Town Council under the procedures set forth in Article 17 for amendment of this appendix and the zoning map. Prior to the submission of an application to the Town Council to amend the zoning map, the applicant shall provide evidence that the proposed parcel to be rezoned to a mixed-use special district has:</w:t>
      </w:r>
    </w:p>
    <w:p>
      <w:pPr>
        <w:pStyle w:val="Compact"/>
        <w:numPr>
          <w:ilvl w:val="1"/>
          <w:numId w:val="1077"/>
        </w:numPr>
      </w:pPr>
      <w:r>
        <w:t xml:space="preserve">(1) Single ownership or control;</w:t>
      </w:r>
    </w:p>
    <w:p>
      <w:pPr>
        <w:pStyle w:val="Compact"/>
        <w:numPr>
          <w:ilvl w:val="1"/>
          <w:numId w:val="1077"/>
        </w:numPr>
      </w:pPr>
      <w:r>
        <w:t xml:space="preserve">(2) Service by both water and sewer;</w:t>
      </w:r>
    </w:p>
    <w:p>
      <w:pPr>
        <w:pStyle w:val="Compact"/>
        <w:numPr>
          <w:ilvl w:val="1"/>
          <w:numId w:val="1077"/>
        </w:numPr>
      </w:pPr>
      <w:r>
        <w:t xml:space="preserve">(3) A minimum of five acres of suitable land area; and</w:t>
      </w:r>
    </w:p>
    <w:p>
      <w:pPr>
        <w:pStyle w:val="Compact"/>
        <w:numPr>
          <w:ilvl w:val="1"/>
          <w:numId w:val="1077"/>
        </w:numPr>
      </w:pPr>
      <w:r>
        <w:t xml:space="preserve">(4) A minimum of 40 feet of lot frontage along a public street.</w:t>
      </w:r>
    </w:p>
    <w:p>
      <w:pPr>
        <w:pStyle w:val="Compact"/>
        <w:numPr>
          <w:ilvl w:val="0"/>
          <w:numId w:val="1075"/>
        </w:numPr>
      </w:pPr>
      <w:r>
        <w:t xml:space="preserve">(c) Review by Planning Board. The Planning Board shall review an application for MUSD.</w:t>
      </w:r>
    </w:p>
    <w:p>
      <w:pPr>
        <w:pStyle w:val="Compact"/>
        <w:numPr>
          <w:ilvl w:val="0"/>
          <w:numId w:val="1075"/>
        </w:numPr>
      </w:pPr>
      <w:r>
        <w:t xml:space="preserve">(d) Mix and design of land uses. The following standards for uses and density shall govern development within a mixed-use special district:</w:t>
      </w:r>
    </w:p>
    <w:p>
      <w:pPr>
        <w:pStyle w:val="Compact"/>
        <w:numPr>
          <w:ilvl w:val="1"/>
          <w:numId w:val="1078"/>
        </w:numPr>
      </w:pPr>
      <w:r>
        <w:t xml:space="preserve">(1) At least 50% of the land area, exclusive of land unsuitable for development (see § 5-8), shall be utilized for general service uses and/or retail and restaurant uses. Any given use within these categories may be allowed by right or by special use permit as determined by the Town Council.</w:t>
      </w:r>
    </w:p>
    <w:p>
      <w:pPr>
        <w:numPr>
          <w:ilvl w:val="1"/>
          <w:numId w:val="1078"/>
        </w:numPr>
      </w:pPr>
      <w:r>
        <w:t xml:space="preserve">(2) Single or multiple household residential buildings are allowed by right provided there is at least 7,500 square feet of land suitable for development for each single-family detached dwelling unit, and at least 6,500 square feet of land suitable for development for each attached or multifamily dwelling unit.</w:t>
      </w:r>
    </w:p>
    <w:p>
      <w:pPr>
        <w:numPr>
          <w:ilvl w:val="1"/>
          <w:numId w:val="1000"/>
        </w:numPr>
      </w:pPr>
      <w:r>
        <w:t xml:space="preserve">At least 20% of the housing units are to be set aside as low and moderate income units as defined in Article 15.</w:t>
      </w:r>
    </w:p>
    <w:p>
      <w:pPr>
        <w:pStyle w:val="Compact"/>
        <w:numPr>
          <w:ilvl w:val="1"/>
          <w:numId w:val="1078"/>
        </w:numPr>
      </w:pPr>
      <w:r>
        <w:t xml:space="preserve">(3) A minimum of 20% of the land area, exclusive of land unsuitable for development, shall be set aside as protected open space. The open space may be in one or more parcels and may include outdoor recreational uses as appropriate for the intended occupancy, or public open space such as a community green or common.</w:t>
      </w:r>
    </w:p>
    <w:p>
      <w:pPr>
        <w:pStyle w:val="Compact"/>
        <w:numPr>
          <w:ilvl w:val="1"/>
          <w:numId w:val="1078"/>
        </w:numPr>
      </w:pPr>
      <w:r>
        <w:t xml:space="preserve">(4) Cultural, entertainment and active recreational uses may be allowed as determined appropriate by the Town Council for any given MUSD development. Such uses shall not substitute for the required open space unless expressly allowed by the Town Council.</w:t>
      </w:r>
    </w:p>
    <w:p>
      <w:pPr>
        <w:pStyle w:val="Compact"/>
        <w:numPr>
          <w:ilvl w:val="1"/>
          <w:numId w:val="1078"/>
        </w:numPr>
      </w:pPr>
      <w:r>
        <w:t xml:space="preserve">(5) Other uses may be allowed as determined appropriate by the Town Council for any given MUSD development.</w:t>
      </w:r>
    </w:p>
    <w:p>
      <w:pPr>
        <w:pStyle w:val="Compact"/>
        <w:numPr>
          <w:ilvl w:val="0"/>
          <w:numId w:val="1075"/>
        </w:numPr>
      </w:pPr>
      <w:r>
        <w:t xml:space="preserve">(e) Dimensional requirements. Dimensional requirements, such as setbacks, distance between buildings, and height shall be determined by the Town Council with recommendation from the Planning Board.</w:t>
      </w:r>
    </w:p>
    <w:p>
      <w:pPr>
        <w:pStyle w:val="Compact"/>
        <w:numPr>
          <w:ilvl w:val="0"/>
          <w:numId w:val="1075"/>
        </w:numPr>
      </w:pPr>
      <w:r>
        <w:t xml:space="preserve">(f) Parking requirements. Parking requirements shall be determined by the Town Council with guidance from the parking requirements contained in this appendix and with recommendation from the Planning Board.</w:t>
      </w:r>
    </w:p>
    <w:bookmarkEnd w:id="93"/>
    <w:bookmarkStart w:id="94" w:name="Xdca95450a8d76351c4dc9ff6fb83168a7f66064"/>
    <w:p>
      <w:pPr>
        <w:pStyle w:val="Heading2"/>
      </w:pPr>
      <w:r>
        <w:t xml:space="preserve">§ 9-3.1. Berkeley Mill Mixed-Use Special Overlay District</w:t>
      </w:r>
    </w:p>
    <w:p>
      <w:pPr>
        <w:pStyle w:val="FirstParagraph"/>
      </w:pPr>
      <w:r>
        <w:rPr>
          <w:i/>
          <w:iCs/>
        </w:rPr>
        <w:t xml:space="preserve">[Added 5-16-2018 by Ord. No. 18-07A]</w:t>
      </w:r>
    </w:p>
    <w:p>
      <w:pPr>
        <w:pStyle w:val="Compact"/>
        <w:numPr>
          <w:ilvl w:val="0"/>
          <w:numId w:val="1079"/>
        </w:numPr>
      </w:pPr>
      <w:r>
        <w:t xml:space="preserve">(a) Applicability. The Berkeley Mill Mixed-Use Special Overlay District will encompass the property improved with the Berkeley Mill and all improvements otherwise addressed 30 Martin Street and more specifically designated Assessor's Plat 34, Lot 188. The Zoning Map shall be changed to reflect this overlay district designation.</w:t>
      </w:r>
    </w:p>
    <w:p>
      <w:pPr>
        <w:pStyle w:val="Compact"/>
        <w:numPr>
          <w:ilvl w:val="0"/>
          <w:numId w:val="1079"/>
        </w:numPr>
      </w:pPr>
      <w:r>
        <w:t xml:space="preserve">(b) Permitted and Prohibited Land Uses. Uses shall be permitted, prohibited and permitted by special use permit in the underlying Industrial-I (I-1) zoning district, as identified in Table 1, entitled "Use Table."</w:t>
      </w:r>
    </w:p>
    <w:p>
      <w:pPr>
        <w:pStyle w:val="Compact"/>
        <w:numPr>
          <w:ilvl w:val="1"/>
          <w:numId w:val="1080"/>
        </w:numPr>
      </w:pPr>
      <w:r>
        <w:t xml:space="preserve">(1) However, notwithstanding the Use Table requirements, the following uses listed in Table 1 are also permitted as a matter of right in the Mixed-Use Special Overlay District:</w:t>
      </w:r>
    </w:p>
    <w:p>
      <w:pPr>
        <w:pStyle w:val="Compact"/>
        <w:numPr>
          <w:ilvl w:val="2"/>
          <w:numId w:val="1081"/>
        </w:numPr>
      </w:pPr>
      <w:r>
        <w:t xml:space="preserve">a. Residential.</w:t>
      </w:r>
    </w:p>
    <w:p>
      <w:pPr>
        <w:pStyle w:val="Compact"/>
        <w:numPr>
          <w:ilvl w:val="3"/>
          <w:numId w:val="1082"/>
        </w:numPr>
      </w:pPr>
      <w:r>
        <w:t xml:space="preserve">1. Number 12. Mixed-use residential, as defined in Appendix A, entitled "Use Regulations Definitions," except limiting the number of dwelling units to 75 and each dwelling unit not to exceed one bedroom.</w:t>
      </w:r>
    </w:p>
    <w:p>
      <w:pPr>
        <w:pStyle w:val="Compact"/>
        <w:numPr>
          <w:ilvl w:val="3"/>
          <w:numId w:val="1082"/>
        </w:numPr>
      </w:pPr>
      <w:r>
        <w:t xml:space="preserve">2. Number 17. Hotel, bed-and-breakfast: 10 rooms or less.</w:t>
      </w:r>
    </w:p>
    <w:p>
      <w:pPr>
        <w:pStyle w:val="Compact"/>
        <w:numPr>
          <w:ilvl w:val="3"/>
          <w:numId w:val="1082"/>
        </w:numPr>
      </w:pPr>
      <w:r>
        <w:t xml:space="preserve">3. Number 18. Hotel: 11 to 29 rooms.</w:t>
      </w:r>
    </w:p>
    <w:p>
      <w:pPr>
        <w:pStyle w:val="Compact"/>
        <w:numPr>
          <w:ilvl w:val="3"/>
          <w:numId w:val="1082"/>
        </w:numPr>
      </w:pPr>
      <w:r>
        <w:t xml:space="preserve">4. Number 19. Hotel: 30 rooms or more.</w:t>
      </w:r>
    </w:p>
    <w:p>
      <w:pPr>
        <w:pStyle w:val="Compact"/>
        <w:numPr>
          <w:ilvl w:val="2"/>
          <w:numId w:val="1081"/>
        </w:numPr>
      </w:pPr>
      <w:r>
        <w:t xml:space="preserve">b. Institutional and governmental.</w:t>
      </w:r>
    </w:p>
    <w:p>
      <w:pPr>
        <w:pStyle w:val="Compact"/>
        <w:numPr>
          <w:ilvl w:val="3"/>
          <w:numId w:val="1083"/>
        </w:numPr>
      </w:pPr>
      <w:r>
        <w:t xml:space="preserve">1. Number 26. Trade schools.</w:t>
      </w:r>
    </w:p>
    <w:p>
      <w:pPr>
        <w:pStyle w:val="Compact"/>
        <w:numPr>
          <w:ilvl w:val="3"/>
          <w:numId w:val="1083"/>
        </w:numPr>
      </w:pPr>
      <w:r>
        <w:t xml:space="preserve">2. Number 27. Religious services.</w:t>
      </w:r>
    </w:p>
    <w:p>
      <w:pPr>
        <w:pStyle w:val="Compact"/>
        <w:numPr>
          <w:ilvl w:val="3"/>
          <w:numId w:val="1083"/>
        </w:numPr>
      </w:pPr>
      <w:r>
        <w:t xml:space="preserve">3. Number 28. Medical and health services hospital/medical services/clinic.</w:t>
      </w:r>
    </w:p>
    <w:p>
      <w:pPr>
        <w:pStyle w:val="Compact"/>
        <w:numPr>
          <w:ilvl w:val="3"/>
          <w:numId w:val="1083"/>
        </w:numPr>
      </w:pPr>
      <w:r>
        <w:t xml:space="preserve">4. Number 34. Day care center.</w:t>
      </w:r>
    </w:p>
    <w:p>
      <w:pPr>
        <w:pStyle w:val="Compact"/>
        <w:numPr>
          <w:ilvl w:val="3"/>
          <w:numId w:val="1083"/>
        </w:numPr>
      </w:pPr>
      <w:r>
        <w:t xml:space="preserve">5. Number 38. Arts education.</w:t>
      </w:r>
    </w:p>
    <w:p>
      <w:pPr>
        <w:pStyle w:val="Compact"/>
        <w:numPr>
          <w:ilvl w:val="2"/>
          <w:numId w:val="1081"/>
        </w:numPr>
      </w:pPr>
      <w:r>
        <w:t xml:space="preserve">c. Cultural, Entertainment and Recreational.</w:t>
      </w:r>
    </w:p>
    <w:p>
      <w:pPr>
        <w:pStyle w:val="Compact"/>
        <w:numPr>
          <w:ilvl w:val="3"/>
          <w:numId w:val="1084"/>
        </w:numPr>
      </w:pPr>
      <w:r>
        <w:t xml:space="preserve">1. Number 41. Nonprofit library, museum or art gallery.</w:t>
      </w:r>
    </w:p>
    <w:p>
      <w:pPr>
        <w:pStyle w:val="Compact"/>
        <w:numPr>
          <w:ilvl w:val="3"/>
          <w:numId w:val="1084"/>
        </w:numPr>
      </w:pPr>
      <w:r>
        <w:t xml:space="preserve">2. Number 42. Spectator assembly.</w:t>
      </w:r>
    </w:p>
    <w:p>
      <w:pPr>
        <w:pStyle w:val="Compact"/>
        <w:numPr>
          <w:ilvl w:val="3"/>
          <w:numId w:val="1084"/>
        </w:numPr>
      </w:pPr>
      <w:r>
        <w:t xml:space="preserve">3. Number 47. Nonprofit community center.</w:t>
      </w:r>
    </w:p>
    <w:p>
      <w:pPr>
        <w:pStyle w:val="Compact"/>
        <w:numPr>
          <w:ilvl w:val="2"/>
          <w:numId w:val="1081"/>
        </w:numPr>
      </w:pPr>
      <w:r>
        <w:t xml:space="preserve">d. General Services.</w:t>
      </w:r>
    </w:p>
    <w:p>
      <w:pPr>
        <w:pStyle w:val="Compact"/>
        <w:numPr>
          <w:ilvl w:val="3"/>
          <w:numId w:val="1085"/>
        </w:numPr>
      </w:pPr>
      <w:r>
        <w:t xml:space="preserve">1. Number 54. Personal service</w:t>
      </w:r>
    </w:p>
    <w:p>
      <w:pPr>
        <w:pStyle w:val="Compact"/>
        <w:numPr>
          <w:ilvl w:val="2"/>
          <w:numId w:val="1081"/>
        </w:numPr>
      </w:pPr>
      <w:r>
        <w:t xml:space="preserve">e. Trade.</w:t>
      </w:r>
    </w:p>
    <w:p>
      <w:pPr>
        <w:pStyle w:val="Compact"/>
        <w:numPr>
          <w:ilvl w:val="3"/>
          <w:numId w:val="1086"/>
        </w:numPr>
      </w:pPr>
      <w:r>
        <w:t xml:space="preserve">1. Number 74. Retail trade, 15,000 square feet, total GFA or less.</w:t>
      </w:r>
    </w:p>
    <w:p>
      <w:pPr>
        <w:pStyle w:val="Compact"/>
        <w:numPr>
          <w:ilvl w:val="3"/>
          <w:numId w:val="1086"/>
        </w:numPr>
      </w:pPr>
      <w:r>
        <w:t xml:space="preserve">2. Number 75. Retail trade, more than 15,000 square feet, total GFA.</w:t>
      </w:r>
    </w:p>
    <w:p>
      <w:pPr>
        <w:pStyle w:val="Compact"/>
        <w:numPr>
          <w:ilvl w:val="2"/>
          <w:numId w:val="1081"/>
        </w:numPr>
      </w:pPr>
      <w:r>
        <w:t xml:space="preserve">f. The following additional use(s) are permitted as a matter of right in the Mixed-Use Special Overlay District:</w:t>
      </w:r>
    </w:p>
    <w:p>
      <w:pPr>
        <w:pStyle w:val="Compact"/>
        <w:numPr>
          <w:ilvl w:val="3"/>
          <w:numId w:val="1087"/>
        </w:numPr>
      </w:pPr>
      <w:r>
        <w:t xml:space="preserve">1. Microbrewery, which is defined as an establishment where beer, ale, etc., are brewed, typically in conjunction with a bar, tavern or restaurant use. The maximum brewing capacity shall not exceed 20,000 barrels per year.</w:t>
      </w:r>
    </w:p>
    <w:p>
      <w:pPr>
        <w:numPr>
          <w:ilvl w:val="1"/>
          <w:numId w:val="1080"/>
        </w:numPr>
      </w:pPr>
      <w:r>
        <w:t xml:space="preserve">(2)</w:t>
      </w:r>
    </w:p>
    <w:p>
      <w:pPr>
        <w:numPr>
          <w:ilvl w:val="1"/>
          <w:numId w:val="1000"/>
        </w:numPr>
      </w:pPr>
      <w:r>
        <w:t xml:space="preserve">Prohibited uses. Notwithstanding the Use Table requirements, the following uses are prohibited in the Mixed-Use Special Overlay District:</w:t>
      </w:r>
    </w:p>
    <w:p>
      <w:pPr>
        <w:pStyle w:val="Compact"/>
        <w:numPr>
          <w:ilvl w:val="2"/>
          <w:numId w:val="1088"/>
        </w:numPr>
      </w:pPr>
      <w:r>
        <w:t xml:space="preserve">a. (1) Dairy farm;</w:t>
      </w:r>
    </w:p>
    <w:p>
      <w:pPr>
        <w:pStyle w:val="Compact"/>
        <w:numPr>
          <w:ilvl w:val="2"/>
          <w:numId w:val="1088"/>
        </w:numPr>
      </w:pPr>
      <w:r>
        <w:t xml:space="preserve">b. (2) Fruit orchard;</w:t>
      </w:r>
    </w:p>
    <w:p>
      <w:pPr>
        <w:pStyle w:val="Compact"/>
        <w:numPr>
          <w:ilvl w:val="2"/>
          <w:numId w:val="1088"/>
        </w:numPr>
      </w:pPr>
      <w:r>
        <w:t xml:space="preserve">c. (3) General crops;</w:t>
      </w:r>
    </w:p>
    <w:p>
      <w:pPr>
        <w:pStyle w:val="Compact"/>
        <w:numPr>
          <w:ilvl w:val="2"/>
          <w:numId w:val="1088"/>
        </w:numPr>
      </w:pPr>
      <w:r>
        <w:t xml:space="preserve">d. (4) Animal husbandry;</w:t>
      </w:r>
    </w:p>
    <w:p>
      <w:pPr>
        <w:pStyle w:val="Compact"/>
        <w:numPr>
          <w:ilvl w:val="2"/>
          <w:numId w:val="1088"/>
        </w:numPr>
      </w:pPr>
      <w:r>
        <w:t xml:space="preserve">e. (14) Nursing home;</w:t>
      </w:r>
    </w:p>
    <w:p>
      <w:pPr>
        <w:pStyle w:val="Compact"/>
        <w:numPr>
          <w:ilvl w:val="2"/>
          <w:numId w:val="1088"/>
        </w:numPr>
      </w:pPr>
      <w:r>
        <w:t xml:space="preserve">f. (16) Community residence;</w:t>
      </w:r>
    </w:p>
    <w:p>
      <w:pPr>
        <w:pStyle w:val="Compact"/>
        <w:numPr>
          <w:ilvl w:val="2"/>
          <w:numId w:val="1088"/>
        </w:numPr>
      </w:pPr>
      <w:r>
        <w:t xml:space="preserve">g. (55) Funeral home;</w:t>
      </w:r>
    </w:p>
    <w:p>
      <w:pPr>
        <w:pStyle w:val="Compact"/>
        <w:numPr>
          <w:ilvl w:val="2"/>
          <w:numId w:val="1088"/>
        </w:numPr>
      </w:pPr>
      <w:r>
        <w:t xml:space="preserve">h. (58) Car wash;</w:t>
      </w:r>
    </w:p>
    <w:p>
      <w:pPr>
        <w:pStyle w:val="Compact"/>
        <w:numPr>
          <w:ilvl w:val="2"/>
          <w:numId w:val="1088"/>
        </w:numPr>
      </w:pPr>
      <w:r>
        <w:t xml:space="preserve">i. (59) Repair service, automotive;</w:t>
      </w:r>
    </w:p>
    <w:p>
      <w:pPr>
        <w:pStyle w:val="Compact"/>
        <w:numPr>
          <w:ilvl w:val="2"/>
          <w:numId w:val="1088"/>
        </w:numPr>
      </w:pPr>
      <w:r>
        <w:t xml:space="preserve">j. (65) Warehousing and storage, including open lot storage;</w:t>
      </w:r>
    </w:p>
    <w:p>
      <w:pPr>
        <w:pStyle w:val="Compact"/>
        <w:numPr>
          <w:ilvl w:val="2"/>
          <w:numId w:val="1088"/>
        </w:numPr>
      </w:pPr>
      <w:r>
        <w:t xml:space="preserve">k. (68) Auto body repair;</w:t>
      </w:r>
    </w:p>
    <w:p>
      <w:pPr>
        <w:pStyle w:val="Compact"/>
        <w:numPr>
          <w:ilvl w:val="2"/>
          <w:numId w:val="1088"/>
        </w:numPr>
      </w:pPr>
      <w:r>
        <w:t xml:space="preserve">l. (77) Retail trade: automotive, marine graft, aircraft and accessories;</w:t>
      </w:r>
    </w:p>
    <w:p>
      <w:pPr>
        <w:pStyle w:val="Compact"/>
        <w:numPr>
          <w:ilvl w:val="2"/>
          <w:numId w:val="1088"/>
        </w:numPr>
      </w:pPr>
      <w:r>
        <w:t xml:space="preserve">m. (79) Fast-food restaurant;</w:t>
      </w:r>
    </w:p>
    <w:p>
      <w:pPr>
        <w:pStyle w:val="Compact"/>
        <w:numPr>
          <w:ilvl w:val="2"/>
          <w:numId w:val="1088"/>
        </w:numPr>
      </w:pPr>
      <w:r>
        <w:t xml:space="preserve">n. (87) Automobile parking (principal use);</w:t>
      </w:r>
    </w:p>
    <w:p>
      <w:pPr>
        <w:pStyle w:val="Compact"/>
        <w:numPr>
          <w:ilvl w:val="2"/>
          <w:numId w:val="1088"/>
        </w:numPr>
      </w:pPr>
      <w:r>
        <w:t xml:space="preserve">o. 91(A) Ground-mounted medium-scale solar energy system (principal use);</w:t>
      </w:r>
    </w:p>
    <w:p>
      <w:pPr>
        <w:pStyle w:val="Compact"/>
        <w:numPr>
          <w:ilvl w:val="2"/>
          <w:numId w:val="1088"/>
        </w:numPr>
      </w:pPr>
      <w:r>
        <w:t xml:space="preserve">p. 91(B) Ground-mounted major-scale solar energy system (principal use);</w:t>
      </w:r>
    </w:p>
    <w:p>
      <w:pPr>
        <w:pStyle w:val="Compact"/>
        <w:numPr>
          <w:ilvl w:val="2"/>
          <w:numId w:val="1088"/>
        </w:numPr>
      </w:pPr>
      <w:r>
        <w:t xml:space="preserve">q. 92(B) Ground-mounted minor-scale solar energy system (accessory use), minimum lot size of 30,000 square feet;</w:t>
      </w:r>
    </w:p>
    <w:p>
      <w:pPr>
        <w:pStyle w:val="Compact"/>
        <w:numPr>
          <w:ilvl w:val="2"/>
          <w:numId w:val="1088"/>
        </w:numPr>
      </w:pPr>
      <w:r>
        <w:t xml:space="preserve">r. 92(C) Ground-mounted medium-scale solar energy system (accessory use);</w:t>
      </w:r>
    </w:p>
    <w:p>
      <w:pPr>
        <w:pStyle w:val="Compact"/>
        <w:numPr>
          <w:ilvl w:val="2"/>
          <w:numId w:val="1088"/>
        </w:numPr>
      </w:pPr>
      <w:r>
        <w:t xml:space="preserve">s. (97) Lumber and wood products;</w:t>
      </w:r>
    </w:p>
    <w:p>
      <w:pPr>
        <w:pStyle w:val="Compact"/>
        <w:numPr>
          <w:ilvl w:val="2"/>
          <w:numId w:val="1088"/>
        </w:numPr>
      </w:pPr>
      <w:r>
        <w:t xml:space="preserve">t. (101) Pharmaceuticals;</w:t>
      </w:r>
    </w:p>
    <w:p>
      <w:pPr>
        <w:pStyle w:val="Compact"/>
        <w:numPr>
          <w:ilvl w:val="2"/>
          <w:numId w:val="1088"/>
        </w:numPr>
      </w:pPr>
      <w:r>
        <w:t xml:space="preserve">u. (102) Rubber and miscellaneous plastic products;</w:t>
      </w:r>
    </w:p>
    <w:p>
      <w:pPr>
        <w:pStyle w:val="Compact"/>
        <w:numPr>
          <w:ilvl w:val="2"/>
          <w:numId w:val="1088"/>
        </w:numPr>
      </w:pPr>
      <w:r>
        <w:t xml:space="preserve">v. (103) Stone, clay and glass products;</w:t>
      </w:r>
    </w:p>
    <w:p>
      <w:pPr>
        <w:pStyle w:val="Compact"/>
        <w:numPr>
          <w:ilvl w:val="2"/>
          <w:numId w:val="1088"/>
        </w:numPr>
      </w:pPr>
      <w:r>
        <w:t xml:space="preserve">w. (104) Cement, lime, gypsum or plaster of paris manufacture;</w:t>
      </w:r>
    </w:p>
    <w:p>
      <w:pPr>
        <w:pStyle w:val="Compact"/>
        <w:numPr>
          <w:ilvl w:val="2"/>
          <w:numId w:val="1088"/>
        </w:numPr>
      </w:pPr>
      <w:r>
        <w:t xml:space="preserve">x. (105) Primary metal industries;</w:t>
      </w:r>
    </w:p>
    <w:p>
      <w:pPr>
        <w:pStyle w:val="Compact"/>
        <w:numPr>
          <w:ilvl w:val="2"/>
          <w:numId w:val="1088"/>
        </w:numPr>
      </w:pPr>
      <w:r>
        <w:t xml:space="preserve">y. (106) Fabricated metal products;</w:t>
      </w:r>
    </w:p>
    <w:p>
      <w:pPr>
        <w:pStyle w:val="Compact"/>
        <w:numPr>
          <w:ilvl w:val="2"/>
          <w:numId w:val="1088"/>
        </w:numPr>
      </w:pPr>
      <w:r>
        <w:t xml:space="preserve">z. (107) Drop forge industries;</w:t>
      </w:r>
    </w:p>
    <w:p>
      <w:pPr>
        <w:pStyle w:val="Compact"/>
        <w:numPr>
          <w:ilvl w:val="2"/>
          <w:numId w:val="1088"/>
        </w:numPr>
      </w:pPr>
      <w:r>
        <w:t xml:space="preserve">aa. (108) Machinery and machine parts;</w:t>
      </w:r>
    </w:p>
    <w:p>
      <w:pPr>
        <w:pStyle w:val="Compact"/>
        <w:numPr>
          <w:ilvl w:val="2"/>
          <w:numId w:val="1088"/>
        </w:numPr>
      </w:pPr>
      <w:r>
        <w:t xml:space="preserve">bb. (110) Ship and board building and repair;</w:t>
      </w:r>
    </w:p>
    <w:p>
      <w:pPr>
        <w:pStyle w:val="Compact"/>
        <w:numPr>
          <w:ilvl w:val="2"/>
          <w:numId w:val="1088"/>
        </w:numPr>
      </w:pPr>
      <w:r>
        <w:t xml:space="preserve">cc. (112) Jewelry and silverware;</w:t>
      </w:r>
    </w:p>
    <w:p>
      <w:pPr>
        <w:pStyle w:val="Compact"/>
        <w:numPr>
          <w:ilvl w:val="2"/>
          <w:numId w:val="1088"/>
        </w:numPr>
      </w:pPr>
      <w:r>
        <w:t xml:space="preserve">dd. (114) Plating of jewelry and metal parts.</w:t>
      </w:r>
    </w:p>
    <w:p>
      <w:pPr>
        <w:pStyle w:val="Compact"/>
        <w:numPr>
          <w:ilvl w:val="0"/>
          <w:numId w:val="1079"/>
        </w:numPr>
      </w:pPr>
      <w:r>
        <w:t xml:space="preserve">(c) Dimensional requirements. The applicable I-1 District dimensional criteria, pursuant to Section 5-3: "Commercial and Industrial Zones," shall be required, except maximum lot coverage, which shall be 100%.</w:t>
      </w:r>
    </w:p>
    <w:p>
      <w:pPr>
        <w:pStyle w:val="Compact"/>
        <w:numPr>
          <w:ilvl w:val="0"/>
          <w:numId w:val="1079"/>
        </w:numPr>
      </w:pPr>
      <w:r>
        <w:t xml:space="preserve">(d) Parking and loading requirements. Parking and loading requirements, provided Article 14 shall be reduced by 50% in the Mixed-Use Special Overlay District.</w:t>
      </w:r>
    </w:p>
    <w:p>
      <w:pPr>
        <w:pStyle w:val="Compact"/>
        <w:numPr>
          <w:ilvl w:val="0"/>
          <w:numId w:val="1079"/>
        </w:numPr>
      </w:pPr>
      <w:r>
        <w:t xml:space="preserve">(e) Standard of review. The Planning Board shall review and forward an advisory recommendation to the Town Council on consistency with the Comprehensive Plan as well as land use and off-street parking/loading flexibility appropriateness. The initial adoption of the Berkeley Mill Mixed-Use Special District and the proposed physical expansion of approximately 2,500 square feet to accommodate the microbrewery as contemplated herein shall not incur any additional review or approval procedures, neither development plan review nor land development project review. Said proposed physical expansion shall also be permitted to extend into the required setbacks in the I-1 zone.</w:t>
      </w:r>
    </w:p>
    <w:p>
      <w:pPr>
        <w:pStyle w:val="Compact"/>
        <w:numPr>
          <w:ilvl w:val="0"/>
          <w:numId w:val="1079"/>
        </w:numPr>
      </w:pPr>
      <w:r>
        <w:t xml:space="preserve">(f) Residential use covenant required. In the event the applicant seeks a residential use in the Mixed-Use Special Overlay District, the applicant must sign and record a covenant that acknowledges that the owner(s) of the building(s) or any residential units accept the industrial character of the neighborhood and agree that the existing or permitted industrial uses do not constitute a nuisance or other inappropriate or unlawful use of land. Such covenant shall state that it is binding on the owner(s)' successors and assigns, including any lessees of the residential use.</w:t>
      </w:r>
    </w:p>
    <w:bookmarkEnd w:id="94"/>
    <w:bookmarkStart w:id="95" w:name="ann-and-hope-mixed-use-district"/>
    <w:p>
      <w:pPr>
        <w:pStyle w:val="Heading2"/>
      </w:pPr>
      <w:r>
        <w:t xml:space="preserve">§ 9-3.2. Ann and Hope Mixed-Use District</w:t>
      </w:r>
    </w:p>
    <w:p>
      <w:pPr>
        <w:pStyle w:val="FirstParagraph"/>
      </w:pPr>
      <w:r>
        <w:rPr>
          <w:i/>
          <w:iCs/>
        </w:rPr>
        <w:t xml:space="preserve">[Added 9-7-2022 by Ord. No. 22-12B]</w:t>
      </w:r>
    </w:p>
    <w:p>
      <w:pPr>
        <w:pStyle w:val="Compact"/>
        <w:numPr>
          <w:ilvl w:val="0"/>
          <w:numId w:val="1089"/>
        </w:numPr>
      </w:pPr>
      <w:r>
        <w:t xml:space="preserve">(a) Applicability. The Ann and Hope Mixed-Use District will encompass the property improved and all improvements otherwise thereon at 100 Ann and Hope Way and more specifically designated Assessor's Plat 11, Lot 159.</w:t>
      </w:r>
    </w:p>
    <w:p>
      <w:pPr>
        <w:pStyle w:val="Compact"/>
        <w:numPr>
          <w:ilvl w:val="0"/>
          <w:numId w:val="1089"/>
        </w:numPr>
      </w:pPr>
      <w:r>
        <w:t xml:space="preserve">(b) Permitted and prohibited land uses.</w:t>
      </w:r>
    </w:p>
    <w:p>
      <w:pPr>
        <w:pStyle w:val="Compact"/>
        <w:numPr>
          <w:ilvl w:val="1"/>
          <w:numId w:val="1090"/>
        </w:numPr>
      </w:pPr>
      <w:r>
        <w:t xml:space="preserve">(1) Permitted uses.</w:t>
      </w:r>
    </w:p>
    <w:p>
      <w:pPr>
        <w:numPr>
          <w:ilvl w:val="2"/>
          <w:numId w:val="1091"/>
        </w:numPr>
      </w:pPr>
      <w:r>
        <w:t xml:space="preserve">a. Uses identified in Table 1, Use Table. The following uses shall be permitted as a matter of right (Y) in the Ann and Hope Mixed-Use Special Overlay District:</w:t>
      </w:r>
    </w:p>
    <w:tbl>
      <w:tblPr>
        <w:tblStyle w:val="Table"/>
        <w:tblW w:type="auto" w:w="0"/>
        <w:jc w:val="left"/>
        <w:tblInd w:w="2160" w:type="dxa"/>
        <w:tblLook w:firstRow="0" w:lastRow="0" w:firstColumn="0" w:lastColumn="0" w:noHBand="0" w:noVBand="0" w:val="0000"/>
      </w:tblPr>
      <w:tblGrid>
        <w:gridCol w:w="3960"/>
        <w:gridCol w:w="3960"/>
      </w:tblGrid>
      <w:tr>
        <w:tc>
          <w:tcPr/>
          <w:p>
            <w:pPr>
              <w:pStyle w:val="Compact"/>
              <w:jc w:val="left"/>
            </w:pPr>
            <w:r>
              <w:t xml:space="preserve">Principal Uses</w:t>
            </w:r>
          </w:p>
        </w:tc>
        <w:tc>
          <w:tcPr/>
          <w:p>
            <w:pPr>
              <w:pStyle w:val="Compact"/>
              <w:jc w:val="left"/>
            </w:pPr>
            <w:r>
              <w:t xml:space="preserve">Ann and Hope Mixed-Use Special Overlay District</w:t>
            </w:r>
          </w:p>
        </w:tc>
      </w:tr>
      <w:tr>
        <w:tc>
          <w:tcPr/>
          <w:p>
            <w:pPr>
              <w:pStyle w:val="Compact"/>
              <w:jc w:val="left"/>
            </w:pPr>
            <w:r>
              <w:rPr>
                <w:b/>
                <w:bCs/>
              </w:rPr>
              <w:t xml:space="preserve">RESIDENTIAL</w:t>
            </w:r>
          </w:p>
        </w:tc>
        <w:tc>
          <w:tcPr/>
          <w:p>
            <w:pPr>
              <w:pStyle w:val="Compact"/>
            </w:pPr>
          </w:p>
        </w:tc>
      </w:tr>
      <w:tr>
        <w:tc>
          <w:tcPr/>
          <w:p>
            <w:pPr>
              <w:pStyle w:val="Compact"/>
              <w:jc w:val="left"/>
            </w:pPr>
            <w:r>
              <w:t xml:space="preserve">12. Mixed-use residential*</w:t>
            </w:r>
          </w:p>
        </w:tc>
        <w:tc>
          <w:tcPr/>
          <w:p>
            <w:pPr>
              <w:pStyle w:val="Compact"/>
              <w:jc w:val="left"/>
            </w:pPr>
            <w:r>
              <w:t xml:space="preserve">Y</w:t>
            </w:r>
          </w:p>
        </w:tc>
      </w:tr>
      <w:tr>
        <w:tc>
          <w:tcPr/>
          <w:p>
            <w:pPr>
              <w:pStyle w:val="Compact"/>
              <w:jc w:val="left"/>
            </w:pPr>
            <w:r>
              <w:rPr>
                <w:b/>
                <w:bCs/>
              </w:rPr>
              <w:t xml:space="preserve">INSTITUTIONAL AND GOVERNMENTAL</w:t>
            </w:r>
          </w:p>
        </w:tc>
        <w:tc>
          <w:tcPr/>
          <w:p>
            <w:pPr>
              <w:pStyle w:val="Compact"/>
            </w:pPr>
          </w:p>
        </w:tc>
      </w:tr>
      <w:tr>
        <w:tc>
          <w:tcPr/>
          <w:p>
            <w:pPr>
              <w:pStyle w:val="Compact"/>
              <w:jc w:val="left"/>
            </w:pPr>
            <w:r>
              <w:t xml:space="preserve">30. Medical or dental office</w:t>
            </w:r>
          </w:p>
        </w:tc>
        <w:tc>
          <w:tcPr/>
          <w:p>
            <w:pPr>
              <w:pStyle w:val="Compact"/>
              <w:jc w:val="left"/>
            </w:pPr>
            <w:r>
              <w:t xml:space="preserve">Y</w:t>
            </w:r>
          </w:p>
        </w:tc>
      </w:tr>
      <w:tr>
        <w:tc>
          <w:tcPr/>
          <w:p>
            <w:pPr>
              <w:pStyle w:val="Compact"/>
              <w:jc w:val="left"/>
            </w:pPr>
            <w:r>
              <w:t xml:space="preserve">34. Day care center</w:t>
            </w:r>
          </w:p>
        </w:tc>
        <w:tc>
          <w:tcPr/>
          <w:p>
            <w:pPr>
              <w:pStyle w:val="Compact"/>
              <w:jc w:val="left"/>
            </w:pPr>
            <w:r>
              <w:t xml:space="preserve">Y</w:t>
            </w:r>
          </w:p>
        </w:tc>
      </w:tr>
      <w:tr>
        <w:tc>
          <w:tcPr/>
          <w:p>
            <w:pPr>
              <w:pStyle w:val="Compact"/>
              <w:jc w:val="left"/>
            </w:pPr>
            <w:r>
              <w:t xml:space="preserve">35. Pre-schools</w:t>
            </w:r>
          </w:p>
        </w:tc>
        <w:tc>
          <w:tcPr/>
          <w:p>
            <w:pPr>
              <w:pStyle w:val="Compact"/>
              <w:jc w:val="left"/>
            </w:pPr>
            <w:r>
              <w:t xml:space="preserve">Y</w:t>
            </w:r>
          </w:p>
        </w:tc>
      </w:tr>
      <w:tr>
        <w:tc>
          <w:tcPr/>
          <w:p>
            <w:pPr>
              <w:pStyle w:val="Compact"/>
              <w:jc w:val="left"/>
            </w:pPr>
            <w:r>
              <w:rPr>
                <w:b/>
                <w:bCs/>
              </w:rPr>
              <w:t xml:space="preserve">CULTURAL, ENTERTAINMENT AND RECREATIONAL</w:t>
            </w:r>
          </w:p>
        </w:tc>
        <w:tc>
          <w:tcPr/>
          <w:p>
            <w:pPr>
              <w:pStyle w:val="Compact"/>
            </w:pPr>
          </w:p>
        </w:tc>
      </w:tr>
      <w:tr>
        <w:tc>
          <w:tcPr/>
          <w:p>
            <w:pPr>
              <w:pStyle w:val="Compact"/>
              <w:jc w:val="left"/>
            </w:pPr>
            <w:r>
              <w:t xml:space="preserve">41. Nonprofit library, museum or art gallery</w:t>
            </w:r>
          </w:p>
        </w:tc>
        <w:tc>
          <w:tcPr/>
          <w:p>
            <w:pPr>
              <w:pStyle w:val="Compact"/>
              <w:jc w:val="left"/>
            </w:pPr>
            <w:r>
              <w:t xml:space="preserve">Y</w:t>
            </w:r>
          </w:p>
        </w:tc>
      </w:tr>
      <w:tr>
        <w:tc>
          <w:tcPr/>
          <w:p>
            <w:pPr>
              <w:pStyle w:val="Compact"/>
              <w:jc w:val="left"/>
            </w:pPr>
            <w:r>
              <w:t xml:space="preserve">44. Indoor sports facility</w:t>
            </w:r>
          </w:p>
        </w:tc>
        <w:tc>
          <w:tcPr/>
          <w:p>
            <w:pPr>
              <w:pStyle w:val="Compact"/>
              <w:jc w:val="left"/>
            </w:pPr>
            <w:r>
              <w:t xml:space="preserve">Y</w:t>
            </w:r>
          </w:p>
        </w:tc>
      </w:tr>
      <w:tr>
        <w:tc>
          <w:tcPr/>
          <w:p>
            <w:pPr>
              <w:pStyle w:val="Compact"/>
              <w:jc w:val="left"/>
            </w:pPr>
            <w:r>
              <w:t xml:space="preserve">45. Nonprofit community park and playground</w:t>
            </w:r>
          </w:p>
        </w:tc>
        <w:tc>
          <w:tcPr/>
          <w:p>
            <w:pPr>
              <w:pStyle w:val="Compact"/>
              <w:jc w:val="left"/>
            </w:pPr>
            <w:r>
              <w:t xml:space="preserve">Y</w:t>
            </w:r>
          </w:p>
        </w:tc>
      </w:tr>
      <w:tr>
        <w:tc>
          <w:tcPr/>
          <w:p>
            <w:pPr>
              <w:pStyle w:val="Compact"/>
              <w:jc w:val="left"/>
            </w:pPr>
            <w:r>
              <w:t xml:space="preserve">48. Passive recreation</w:t>
            </w:r>
          </w:p>
        </w:tc>
        <w:tc>
          <w:tcPr/>
          <w:p>
            <w:pPr>
              <w:pStyle w:val="Compact"/>
              <w:jc w:val="left"/>
            </w:pPr>
            <w:r>
              <w:t xml:space="preserve">Y</w:t>
            </w:r>
          </w:p>
        </w:tc>
      </w:tr>
      <w:tr>
        <w:tc>
          <w:tcPr/>
          <w:p>
            <w:pPr>
              <w:pStyle w:val="Compact"/>
              <w:jc w:val="left"/>
            </w:pPr>
            <w:r>
              <w:t xml:space="preserve">49. Open space</w:t>
            </w:r>
          </w:p>
        </w:tc>
        <w:tc>
          <w:tcPr/>
          <w:p>
            <w:pPr>
              <w:pStyle w:val="Compact"/>
              <w:jc w:val="left"/>
            </w:pPr>
            <w:r>
              <w:t xml:space="preserve">Y</w:t>
            </w:r>
          </w:p>
        </w:tc>
      </w:tr>
      <w:tr>
        <w:tc>
          <w:tcPr/>
          <w:p>
            <w:pPr>
              <w:pStyle w:val="Compact"/>
              <w:jc w:val="left"/>
            </w:pPr>
            <w:r>
              <w:rPr>
                <w:b/>
                <w:bCs/>
              </w:rPr>
              <w:t xml:space="preserve">GENERAL SERVICES</w:t>
            </w:r>
          </w:p>
        </w:tc>
        <w:tc>
          <w:tcPr/>
          <w:p>
            <w:pPr>
              <w:pStyle w:val="Compact"/>
            </w:pPr>
          </w:p>
        </w:tc>
      </w:tr>
      <w:tr>
        <w:tc>
          <w:tcPr/>
          <w:p>
            <w:pPr>
              <w:pStyle w:val="Compact"/>
              <w:jc w:val="left"/>
            </w:pPr>
            <w:r>
              <w:t xml:space="preserve">53. Finance, insurance and real estate service</w:t>
            </w:r>
          </w:p>
        </w:tc>
        <w:tc>
          <w:tcPr/>
          <w:p>
            <w:pPr>
              <w:pStyle w:val="Compact"/>
              <w:jc w:val="left"/>
            </w:pPr>
            <w:r>
              <w:t xml:space="preserve">Y</w:t>
            </w:r>
          </w:p>
        </w:tc>
      </w:tr>
      <w:tr>
        <w:tc>
          <w:tcPr/>
          <w:p>
            <w:pPr>
              <w:pStyle w:val="Compact"/>
              <w:jc w:val="left"/>
            </w:pPr>
            <w:r>
              <w:t xml:space="preserve">54. Personal service</w:t>
            </w:r>
          </w:p>
        </w:tc>
        <w:tc>
          <w:tcPr/>
          <w:p>
            <w:pPr>
              <w:pStyle w:val="Compact"/>
              <w:jc w:val="left"/>
            </w:pPr>
            <w:r>
              <w:t xml:space="preserve">Y</w:t>
            </w:r>
          </w:p>
        </w:tc>
      </w:tr>
      <w:tr>
        <w:tc>
          <w:tcPr/>
          <w:p>
            <w:pPr>
              <w:pStyle w:val="Compact"/>
              <w:jc w:val="left"/>
            </w:pPr>
            <w:r>
              <w:t xml:space="preserve">56. Limited business service</w:t>
            </w:r>
          </w:p>
        </w:tc>
        <w:tc>
          <w:tcPr/>
          <w:p>
            <w:pPr>
              <w:pStyle w:val="Compact"/>
              <w:jc w:val="left"/>
            </w:pPr>
            <w:r>
              <w:t xml:space="preserve">Y</w:t>
            </w:r>
          </w:p>
        </w:tc>
      </w:tr>
      <w:tr>
        <w:tc>
          <w:tcPr/>
          <w:p>
            <w:pPr>
              <w:pStyle w:val="Compact"/>
              <w:jc w:val="left"/>
            </w:pPr>
            <w:r>
              <w:t xml:space="preserve">60. Professional service</w:t>
            </w:r>
          </w:p>
        </w:tc>
        <w:tc>
          <w:tcPr/>
          <w:p>
            <w:pPr>
              <w:pStyle w:val="Compact"/>
              <w:jc w:val="left"/>
            </w:pPr>
            <w:r>
              <w:t xml:space="preserve">Y</w:t>
            </w:r>
          </w:p>
        </w:tc>
      </w:tr>
      <w:tr>
        <w:tc>
          <w:tcPr/>
          <w:p>
            <w:pPr>
              <w:pStyle w:val="Compact"/>
              <w:jc w:val="left"/>
            </w:pPr>
            <w:r>
              <w:t xml:space="preserve">66. Self storage facility**</w:t>
            </w:r>
          </w:p>
        </w:tc>
        <w:tc>
          <w:tcPr/>
          <w:p>
            <w:pPr>
              <w:pStyle w:val="Compact"/>
              <w:jc w:val="left"/>
            </w:pPr>
            <w:r>
              <w:t xml:space="preserve">Y</w:t>
            </w:r>
          </w:p>
        </w:tc>
      </w:tr>
      <w:tr>
        <w:tc>
          <w:tcPr/>
          <w:p>
            <w:pPr>
              <w:pStyle w:val="Compact"/>
              <w:jc w:val="left"/>
            </w:pPr>
            <w:r>
              <w:rPr>
                <w:b/>
                <w:bCs/>
              </w:rPr>
              <w:t xml:space="preserve">TRADE</w:t>
            </w:r>
          </w:p>
        </w:tc>
        <w:tc>
          <w:tcPr/>
          <w:p>
            <w:pPr>
              <w:pStyle w:val="Compact"/>
            </w:pPr>
          </w:p>
        </w:tc>
      </w:tr>
      <w:tr>
        <w:tc>
          <w:tcPr/>
          <w:p>
            <w:pPr>
              <w:pStyle w:val="Compact"/>
              <w:jc w:val="left"/>
            </w:pPr>
            <w:r>
              <w:t xml:space="preserve">74. Retail trade, 15,000 square feet total GFA or less</w:t>
            </w:r>
          </w:p>
        </w:tc>
        <w:tc>
          <w:tcPr/>
          <w:p>
            <w:pPr>
              <w:pStyle w:val="Compact"/>
              <w:jc w:val="left"/>
            </w:pPr>
            <w:r>
              <w:t xml:space="preserve">Y</w:t>
            </w:r>
          </w:p>
        </w:tc>
      </w:tr>
      <w:tr>
        <w:tc>
          <w:tcPr/>
          <w:p>
            <w:pPr>
              <w:pStyle w:val="Compact"/>
              <w:jc w:val="left"/>
            </w:pPr>
            <w:r>
              <w:t xml:space="preserve">78. Restaurant</w:t>
            </w:r>
          </w:p>
        </w:tc>
        <w:tc>
          <w:tcPr/>
          <w:p>
            <w:pPr>
              <w:pStyle w:val="Compact"/>
              <w:jc w:val="left"/>
            </w:pPr>
            <w:r>
              <w:t xml:space="preserve">Y</w:t>
            </w:r>
          </w:p>
        </w:tc>
      </w:tr>
      <w:tr>
        <w:tc>
          <w:tcPr/>
          <w:p>
            <w:pPr>
              <w:pStyle w:val="Compact"/>
              <w:jc w:val="left"/>
            </w:pPr>
            <w:r>
              <w:rPr>
                <w:b/>
                <w:bCs/>
              </w:rPr>
              <w:t xml:space="preserve">TRANSPORTATION, COMMUNICATION AND UTILITIES</w:t>
            </w:r>
          </w:p>
        </w:tc>
        <w:tc>
          <w:tcPr/>
          <w:p>
            <w:pPr>
              <w:pStyle w:val="Compact"/>
            </w:pPr>
          </w:p>
        </w:tc>
      </w:tr>
      <w:tr>
        <w:tc>
          <w:tcPr/>
          <w:p>
            <w:pPr>
              <w:pStyle w:val="Compact"/>
              <w:jc w:val="left"/>
            </w:pPr>
            <w:r>
              <w:t xml:space="preserve">88. Communication and utilities</w:t>
            </w:r>
          </w:p>
        </w:tc>
        <w:tc>
          <w:tcPr/>
          <w:p>
            <w:pPr>
              <w:pStyle w:val="Compact"/>
              <w:jc w:val="left"/>
            </w:pPr>
            <w:r>
              <w:t xml:space="preserve">Y</w:t>
            </w:r>
          </w:p>
        </w:tc>
      </w:tr>
      <w:tr>
        <w:tc>
          <w:tcPr/>
          <w:p>
            <w:pPr>
              <w:pStyle w:val="Compact"/>
              <w:jc w:val="left"/>
            </w:pPr>
            <w:r>
              <w:t xml:space="preserve">89. Wireless antenna/satellite dish</w:t>
            </w:r>
          </w:p>
        </w:tc>
        <w:tc>
          <w:tcPr/>
          <w:p>
            <w:pPr>
              <w:pStyle w:val="Compact"/>
              <w:jc w:val="left"/>
            </w:pPr>
            <w:r>
              <w:t xml:space="preserve">Y</w:t>
            </w:r>
          </w:p>
        </w:tc>
      </w:tr>
      <w:tr>
        <w:tc>
          <w:tcPr/>
          <w:p>
            <w:pPr>
              <w:pStyle w:val="Compact"/>
              <w:jc w:val="left"/>
            </w:pPr>
            <w:r>
              <w:t xml:space="preserve">92(A). Roof-mounted major-scale solar energy system (accessory use)</w:t>
            </w:r>
          </w:p>
        </w:tc>
        <w:tc>
          <w:tcPr/>
          <w:p>
            <w:pPr>
              <w:pStyle w:val="Compact"/>
              <w:jc w:val="left"/>
            </w:pPr>
            <w:r>
              <w:t xml:space="preserve">Y</w:t>
            </w:r>
          </w:p>
        </w:tc>
      </w:tr>
      <w:tr>
        <w:tc>
          <w:tcPr/>
          <w:p>
            <w:pPr>
              <w:pStyle w:val="Compact"/>
              <w:jc w:val="left"/>
            </w:pPr>
            <w:r>
              <w:t xml:space="preserve">92(D). Roof-mounted medium-scale solar energy system</w:t>
            </w:r>
          </w:p>
        </w:tc>
        <w:tc>
          <w:tcPr/>
          <w:p>
            <w:pPr>
              <w:pStyle w:val="Compact"/>
              <w:jc w:val="left"/>
            </w:pPr>
            <w:r>
              <w:t xml:space="preserve">Y</w:t>
            </w:r>
          </w:p>
        </w:tc>
      </w:tr>
      <w:tr>
        <w:tc>
          <w:tcPr/>
          <w:p>
            <w:pPr>
              <w:pStyle w:val="Compact"/>
              <w:jc w:val="left"/>
            </w:pPr>
            <w:r>
              <w:t xml:space="preserve">92(E). Roof-mounted minor-scale solar energy system (accessory use)</w:t>
            </w:r>
          </w:p>
        </w:tc>
        <w:tc>
          <w:tcPr/>
          <w:p>
            <w:pPr>
              <w:pStyle w:val="Compact"/>
              <w:jc w:val="left"/>
            </w:pPr>
            <w:r>
              <w:t xml:space="preserve">Y</w:t>
            </w:r>
          </w:p>
        </w:tc>
      </w:tr>
    </w:tbl>
    <w:p/>
    <w:tbl>
      <w:tblPr>
        <w:tblStyle w:val="Table"/>
        <w:tblW w:type="auto" w:w="0"/>
        <w:jc w:val="left"/>
        <w:tblInd w:w="2160" w:type="dxa"/>
        <w:tblLook w:firstRow="0" w:lastRow="0" w:firstColumn="0" w:lastColumn="0" w:noHBand="0" w:noVBand="0" w:val="0000"/>
      </w:tblPr>
      <w:tblGrid>
        <w:gridCol w:w="3960"/>
        <w:gridCol w:w="3960"/>
      </w:tblGrid>
      <w:tr>
        <w:tc>
          <w:tcPr>
            <w:gridSpan w:val="2"/>
          </w:tcPr>
          <w:p>
            <w:pPr>
              <w:pStyle w:val="Compact"/>
              <w:jc w:val="left"/>
            </w:pPr>
            <w:r>
              <w:rPr>
                <w:b/>
                <w:bCs/>
              </w:rPr>
              <w:t xml:space="preserve">NOTES:</w:t>
            </w:r>
          </w:p>
        </w:tc>
      </w:tr>
      <w:tr>
        <w:tc>
          <w:tcPr/>
          <w:p>
            <w:pPr>
              <w:pStyle w:val="Compact"/>
              <w:jc w:val="left"/>
            </w:pPr>
            <w:r>
              <w:t xml:space="preserve">*</w:t>
            </w:r>
          </w:p>
        </w:tc>
        <w:tc>
          <w:tcPr/>
          <w:p>
            <w:pPr>
              <w:pStyle w:val="Compact"/>
              <w:jc w:val="left"/>
            </w:pPr>
            <w:r>
              <w:t xml:space="preserve">Mixed-use residential, as defined in Appendix A, entitled "Land Development and Subdivision Regulations," except limiting the number of dwelling units in the Ann and Hope Mixed-Use Special Overlay District to 241 multifamily residential units.</w:t>
            </w:r>
          </w:p>
        </w:tc>
      </w:tr>
      <w:tr>
        <w:tc>
          <w:tcPr/>
          <w:p>
            <w:pPr>
              <w:pStyle w:val="Compact"/>
              <w:jc w:val="left"/>
            </w:pPr>
            <w:r>
              <w:t xml:space="preserve">**</w:t>
            </w:r>
          </w:p>
        </w:tc>
        <w:tc>
          <w:tcPr/>
          <w:p>
            <w:pPr>
              <w:pStyle w:val="Compact"/>
              <w:jc w:val="left"/>
            </w:pPr>
            <w:r>
              <w:t xml:space="preserve">Self storage facility, as defined in Appendix A, entitled "Land Development and Subdivision Regulations," except not limited to location in a one-story building in the Ann and Hope Mixed-Use Special Overlay District.</w:t>
            </w:r>
          </w:p>
        </w:tc>
      </w:tr>
    </w:tbl>
    <w:p>
      <w:pPr>
        <w:numPr>
          <w:ilvl w:val="2"/>
          <w:numId w:val="1000"/>
        </w:numPr>
      </w:pPr>
      <w:r>
        <w:rPr>
          <w:i/>
          <w:iCs/>
        </w:rPr>
        <w:t xml:space="preserve">Editor's Note: Said table is included as an attachment to this chapter.</w:t>
      </w:r>
    </w:p>
    <w:p>
      <w:pPr>
        <w:pStyle w:val="Compact"/>
        <w:numPr>
          <w:ilvl w:val="2"/>
          <w:numId w:val="1091"/>
        </w:numPr>
      </w:pPr>
      <w:r>
        <w:t xml:space="preserve">b. The following additional uses are permitted as a matter of right in the Ann and Hope Mixed-Use Special Overlay District:</w:t>
      </w:r>
    </w:p>
    <w:p>
      <w:pPr>
        <w:pStyle w:val="Compact"/>
        <w:numPr>
          <w:ilvl w:val="3"/>
          <w:numId w:val="1092"/>
        </w:numPr>
      </w:pPr>
      <w:r>
        <w:t xml:space="preserve">1. Microbrewery, which is defined as an establishment where beer, ale, cider, tea, etc., are brewed, typically in conjunction with a bar, tavern or restaurant use.</w:t>
      </w:r>
    </w:p>
    <w:p>
      <w:pPr>
        <w:pStyle w:val="Compact"/>
        <w:numPr>
          <w:ilvl w:val="1"/>
          <w:numId w:val="1090"/>
        </w:numPr>
      </w:pPr>
      <w:r>
        <w:t xml:space="preserve">(2) Prohibited uses. Any use not listed above shall be deemed prohibited.</w:t>
      </w:r>
    </w:p>
    <w:p>
      <w:pPr>
        <w:pStyle w:val="Compact"/>
        <w:numPr>
          <w:ilvl w:val="0"/>
          <w:numId w:val="1089"/>
        </w:numPr>
      </w:pPr>
      <w:r>
        <w:t xml:space="preserve">(c) Mix and design of land uses. Notwithstanding any other provisions of this Zoning Ordinance, the following criteria shall apply: Multiple-unit residential buildings are allowed by right with no land area requirement being applicable; however, the number of residential units in the Ann and Hope Mixed-Use Special Overlay District shall be limited to 241 residential units. The total number of bedrooms shall be determined by the Planning Board in the approved, recorded final plan for development. Twenty percent of the housing units, integrated throughout the development and equally distributed among number of bedroom units, measured by the Ann and Hope Mixed-Use District as a whole, shall be set aside as low- and moderate-income housing units, and shall be deed restricted for 99 years. There shall be no protected open space requirement.</w:t>
      </w:r>
    </w:p>
    <w:p>
      <w:pPr>
        <w:pStyle w:val="Compact"/>
        <w:numPr>
          <w:ilvl w:val="0"/>
          <w:numId w:val="1089"/>
        </w:numPr>
      </w:pPr>
      <w:r>
        <w:t xml:space="preserve">(d) Dimensional requirements. The applicable I-1 District dimensional criteria, pursuant to § 5-3, Commercial and industrial zones, shall be required, except maximum lot coverage, which shall be 90%. The buffer requirements pursuant to § 6-9, except as to parking to the extent reasonably practical as determined by the Planning Board in the approved, recorded final plan for development, shall not be applicable, and the dimensional requirements for multiple residential structures pursuant to § 5-5 shall not be applicable.</w:t>
      </w:r>
    </w:p>
    <w:p>
      <w:pPr>
        <w:pStyle w:val="Compact"/>
        <w:numPr>
          <w:ilvl w:val="0"/>
          <w:numId w:val="1089"/>
        </w:numPr>
      </w:pPr>
      <w:r>
        <w:t xml:space="preserve">(e) Parking and loading requirements. Notwithstanding parking and loading requirements stated in Article 14, the Ann and Hope Mixed-Use Special Overlay District shall require a minimum of 450 parking spaces.</w:t>
      </w:r>
    </w:p>
    <w:bookmarkEnd w:id="95"/>
    <w:bookmarkStart w:id="96" w:name="beagle-club-overlay-district"/>
    <w:p>
      <w:pPr>
        <w:pStyle w:val="Heading2"/>
      </w:pPr>
      <w:r>
        <w:t xml:space="preserve">§ 9-4. Beagle Club Overlay District</w:t>
      </w:r>
    </w:p>
    <w:p>
      <w:pPr>
        <w:pStyle w:val="FirstParagraph"/>
      </w:pPr>
      <w:r>
        <w:rPr>
          <w:i/>
          <w:iCs/>
        </w:rPr>
        <w:t xml:space="preserve">[Added 10-2-2024 by Ord. No. 24-23]</w:t>
      </w:r>
    </w:p>
    <w:p>
      <w:pPr>
        <w:pStyle w:val="Compact"/>
        <w:numPr>
          <w:ilvl w:val="0"/>
          <w:numId w:val="1093"/>
        </w:numPr>
      </w:pPr>
      <w:r>
        <w:t xml:space="preserve">(a) Applicability. The Beagle Club Overlay District encompasses the properties identified as Assessor's Plat 40, Lots 5, 7, 8, and 43.</w:t>
      </w:r>
    </w:p>
    <w:p>
      <w:pPr>
        <w:pStyle w:val="Compact"/>
        <w:numPr>
          <w:ilvl w:val="0"/>
          <w:numId w:val="1093"/>
        </w:numPr>
      </w:pPr>
      <w:r>
        <w:t xml:space="preserve">(b) Permitted uses. Uses shall be permitted, prohibited, and permitted by special use permit in the underlying A-2 zoning district as identified in Table 1 entitled "Use Table."</w:t>
      </w:r>
    </w:p>
    <w:p>
      <w:pPr>
        <w:pStyle w:val="Compact"/>
        <w:numPr>
          <w:ilvl w:val="1"/>
          <w:numId w:val="1094"/>
        </w:numPr>
      </w:pPr>
      <w:r>
        <w:t xml:space="preserve">(1) Additionally, notwithstanding the Use Table requirements, the following uses are also permitted by right in the Beagle Club Overlay District:</w:t>
      </w:r>
    </w:p>
    <w:p>
      <w:pPr>
        <w:pStyle w:val="Compact"/>
        <w:numPr>
          <w:ilvl w:val="2"/>
          <w:numId w:val="1095"/>
        </w:numPr>
      </w:pPr>
      <w:r>
        <w:t xml:space="preserve">a. Number 36, Service organization;</w:t>
      </w:r>
    </w:p>
    <w:p>
      <w:pPr>
        <w:pStyle w:val="Compact"/>
        <w:numPr>
          <w:ilvl w:val="2"/>
          <w:numId w:val="1095"/>
        </w:numPr>
      </w:pPr>
      <w:r>
        <w:t xml:space="preserve">b. Number 43, Outdoor recreation facility;</w:t>
      </w:r>
    </w:p>
    <w:p>
      <w:pPr>
        <w:pStyle w:val="Compact"/>
        <w:numPr>
          <w:ilvl w:val="2"/>
          <w:numId w:val="1095"/>
        </w:numPr>
      </w:pPr>
      <w:r>
        <w:t xml:space="preserve">c. Number 44, Indoor recreation facility;</w:t>
      </w:r>
    </w:p>
    <w:p>
      <w:pPr>
        <w:pStyle w:val="Compact"/>
        <w:numPr>
          <w:ilvl w:val="2"/>
          <w:numId w:val="1095"/>
        </w:numPr>
      </w:pPr>
      <w:r>
        <w:t xml:space="preserve">d. Number 47, Nonprofit community center; and</w:t>
      </w:r>
    </w:p>
    <w:p>
      <w:pPr>
        <w:pStyle w:val="Compact"/>
        <w:numPr>
          <w:ilvl w:val="2"/>
          <w:numId w:val="1095"/>
        </w:numPr>
      </w:pPr>
      <w:r>
        <w:t xml:space="preserve">e. Number 38, Arts education.</w:t>
      </w:r>
    </w:p>
    <w:p>
      <w:pPr>
        <w:pStyle w:val="Compact"/>
        <w:numPr>
          <w:ilvl w:val="1"/>
          <w:numId w:val="1094"/>
        </w:numPr>
      </w:pPr>
      <w:r>
        <w:t xml:space="preserve">(2) Other uses specifically permitted by right include:</w:t>
      </w:r>
    </w:p>
    <w:p>
      <w:pPr>
        <w:pStyle w:val="Compact"/>
        <w:numPr>
          <w:ilvl w:val="2"/>
          <w:numId w:val="1096"/>
        </w:numPr>
      </w:pPr>
      <w:r>
        <w:t xml:space="preserve">a. Fishing;</w:t>
      </w:r>
    </w:p>
    <w:p>
      <w:pPr>
        <w:pStyle w:val="Compact"/>
        <w:numPr>
          <w:ilvl w:val="2"/>
          <w:numId w:val="1096"/>
        </w:numPr>
      </w:pPr>
      <w:r>
        <w:t xml:space="preserve">b. Hunting;</w:t>
      </w:r>
    </w:p>
    <w:p>
      <w:pPr>
        <w:pStyle w:val="Compact"/>
        <w:numPr>
          <w:ilvl w:val="2"/>
          <w:numId w:val="1096"/>
        </w:numPr>
      </w:pPr>
      <w:r>
        <w:t xml:space="preserve">c. Shooting range;</w:t>
      </w:r>
    </w:p>
    <w:p>
      <w:pPr>
        <w:pStyle w:val="Compact"/>
        <w:numPr>
          <w:ilvl w:val="2"/>
          <w:numId w:val="1096"/>
        </w:numPr>
      </w:pPr>
      <w:r>
        <w:t xml:space="preserve">d. Archery;</w:t>
      </w:r>
    </w:p>
    <w:p>
      <w:pPr>
        <w:pStyle w:val="Compact"/>
        <w:numPr>
          <w:ilvl w:val="2"/>
          <w:numId w:val="1096"/>
        </w:numPr>
      </w:pPr>
      <w:r>
        <w:t xml:space="preserve">e. Education and training; and</w:t>
      </w:r>
    </w:p>
    <w:p>
      <w:pPr>
        <w:pStyle w:val="Compact"/>
        <w:numPr>
          <w:ilvl w:val="2"/>
          <w:numId w:val="1096"/>
        </w:numPr>
      </w:pPr>
      <w:r>
        <w:t xml:space="preserve">f. Banquet hall, indoor and outdoor (up to 299 guests).</w:t>
      </w:r>
    </w:p>
    <w:p>
      <w:pPr>
        <w:pStyle w:val="Compact"/>
        <w:numPr>
          <w:ilvl w:val="0"/>
          <w:numId w:val="1093"/>
        </w:numPr>
      </w:pPr>
      <w:r>
        <w:t xml:space="preserve">(c) Dimensional requirements. The applicable dimensional requirements for the Agriculatural-2 zoning district, shall be required.</w:t>
      </w:r>
    </w:p>
    <w:p>
      <w:pPr>
        <w:pStyle w:val="Compact"/>
        <w:numPr>
          <w:ilvl w:val="0"/>
          <w:numId w:val="1093"/>
        </w:numPr>
      </w:pPr>
      <w:r>
        <w:t xml:space="preserve">(d) Parking. Notwithstanding the parking and loading requirements provided in Article 14, and due to the shared use of the parking among the various uses, the minimum required parking shall be 40 spaces and minimum loading shall be one space.</w:t>
      </w:r>
    </w:p>
    <w:p>
      <w:pPr>
        <w:pStyle w:val="Compact"/>
        <w:numPr>
          <w:ilvl w:val="0"/>
          <w:numId w:val="1093"/>
        </w:numPr>
      </w:pPr>
      <w:r>
        <w:t xml:space="preserve">(e) Review of new improvements to the property shall be in accordance with the Land Development and Subdivision Regulations.</w:t>
      </w:r>
    </w:p>
    <w:bookmarkEnd w:id="96"/>
    <w:bookmarkStart w:id="97" w:name="reserved-5"/>
    <w:p>
      <w:pPr>
        <w:pStyle w:val="Heading1"/>
      </w:pPr>
      <w:r>
        <w:t xml:space="preserve">§ 10. Reserved</w:t>
      </w:r>
    </w:p>
    <w:bookmarkEnd w:id="97"/>
    <w:bookmarkStart w:id="98" w:name="conservation-developments"/>
    <w:p>
      <w:pPr>
        <w:pStyle w:val="Heading1"/>
      </w:pPr>
      <w:r>
        <w:t xml:space="preserve">§ 11. Conservation Developments</w:t>
      </w:r>
    </w:p>
    <w:bookmarkEnd w:id="98"/>
    <w:bookmarkStart w:id="99" w:name="purposes"/>
    <w:p>
      <w:pPr>
        <w:pStyle w:val="Heading2"/>
      </w:pPr>
      <w:r>
        <w:t xml:space="preserve">§ 11-1. Purposes</w:t>
      </w:r>
    </w:p>
    <w:p>
      <w:pPr>
        <w:pStyle w:val="FirstParagraph"/>
      </w:pPr>
      <w:r>
        <w:rPr>
          <w:i/>
          <w:iCs/>
        </w:rPr>
        <w:t xml:space="preserve">[Ord. No. 08-31, 10-7-2009]</w:t>
      </w:r>
    </w:p>
    <w:p>
      <w:pPr>
        <w:pStyle w:val="BodyText"/>
      </w:pPr>
      <w:r>
        <w:t xml:space="preserve">The purposes of this article, entitled conservation developments, are to:</w:t>
      </w:r>
    </w:p>
    <w:p>
      <w:pPr>
        <w:pStyle w:val="Compact"/>
        <w:numPr>
          <w:ilvl w:val="0"/>
          <w:numId w:val="1097"/>
        </w:numPr>
      </w:pPr>
      <w:r>
        <w:t xml:space="preserve">(a) Protect natural resources, including, but not limited to, those areas containing woodlands, unique or specimen vegetation, vernal pools, streams, wetlands, floodplains, aquifers and their recharge areas, wellhead areas and agricultural lands, by setting them aside from development;</w:t>
      </w:r>
    </w:p>
    <w:p>
      <w:pPr>
        <w:pStyle w:val="Compact"/>
        <w:numPr>
          <w:ilvl w:val="0"/>
          <w:numId w:val="1097"/>
        </w:numPr>
      </w:pPr>
      <w:r>
        <w:t xml:space="preserve">(b) Preserve cultural, historical and archaeological resources;</w:t>
      </w:r>
    </w:p>
    <w:p>
      <w:pPr>
        <w:pStyle w:val="Compact"/>
        <w:numPr>
          <w:ilvl w:val="0"/>
          <w:numId w:val="1097"/>
        </w:numPr>
      </w:pPr>
      <w:r>
        <w:t xml:space="preserve">(c) Protect recreational resources;</w:t>
      </w:r>
    </w:p>
    <w:p>
      <w:pPr>
        <w:pStyle w:val="Compact"/>
        <w:numPr>
          <w:ilvl w:val="0"/>
          <w:numId w:val="1097"/>
        </w:numPr>
      </w:pPr>
      <w:r>
        <w:t xml:space="preserve">(d) Provide greater design flexibility and efficiency in the siting of services and infrastructure, including wastewater disposal systems and wells, and to reduce length of roads, utility runs and the amount of paving required for residential development;</w:t>
      </w:r>
    </w:p>
    <w:p>
      <w:pPr>
        <w:pStyle w:val="Compact"/>
        <w:numPr>
          <w:ilvl w:val="0"/>
          <w:numId w:val="1097"/>
        </w:numPr>
      </w:pPr>
      <w:r>
        <w:t xml:space="preserve">(e) Provide for a diversity of lot sizes, building densities and housing choices to accommodate a variety of age and income groups, and residential preferences, so that the population diversity of the community may be maintained;</w:t>
      </w:r>
    </w:p>
    <w:p>
      <w:pPr>
        <w:pStyle w:val="Compact"/>
        <w:numPr>
          <w:ilvl w:val="0"/>
          <w:numId w:val="1097"/>
        </w:numPr>
      </w:pPr>
      <w:r>
        <w:t xml:space="preserve">(f) Implement adopted municipal policies to conserve a variety of irreplaceable and environmentally important resources as set forth in the comprehensive plan;</w:t>
      </w:r>
    </w:p>
    <w:p>
      <w:pPr>
        <w:pStyle w:val="Compact"/>
        <w:numPr>
          <w:ilvl w:val="0"/>
          <w:numId w:val="1097"/>
        </w:numPr>
      </w:pPr>
      <w:r>
        <w:t xml:space="preserve">(g) To provide reasonable incentives for the creation of a contiguous greenway system within the Town;</w:t>
      </w:r>
    </w:p>
    <w:p>
      <w:pPr>
        <w:pStyle w:val="Compact"/>
        <w:numPr>
          <w:ilvl w:val="0"/>
          <w:numId w:val="1097"/>
        </w:numPr>
      </w:pPr>
      <w:r>
        <w:t xml:space="preserve">(h) To implement adopted land use, transportation and community service policies, as set forth in the comprehensive plan;</w:t>
      </w:r>
    </w:p>
    <w:p>
      <w:pPr>
        <w:pStyle w:val="Compact"/>
        <w:numPr>
          <w:ilvl w:val="0"/>
          <w:numId w:val="1097"/>
        </w:numPr>
      </w:pPr>
      <w:r>
        <w:t xml:space="preserve">(i) Protect areas of the Town with productive agricultural soils to encourage continued or future agricultural use by conserving blocks of land large enough to allow for efficient farm operations;</w:t>
      </w:r>
    </w:p>
    <w:p>
      <w:pPr>
        <w:pStyle w:val="Compact"/>
        <w:numPr>
          <w:ilvl w:val="0"/>
          <w:numId w:val="1097"/>
        </w:numPr>
      </w:pPr>
      <w:r>
        <w:t xml:space="preserve">(j) Create neighborhoods with direct visual and/or physical access to open land, with amenities in the form of neighborhood open space, and with a strong neighborhood identity;</w:t>
      </w:r>
    </w:p>
    <w:p>
      <w:pPr>
        <w:pStyle w:val="Compact"/>
        <w:numPr>
          <w:ilvl w:val="0"/>
          <w:numId w:val="1097"/>
        </w:numPr>
      </w:pPr>
      <w:r>
        <w:t xml:space="preserve">(k) Provide for the maintenance of open land set aside for active or passive recreational use, stormwater drainage or conservation lands;</w:t>
      </w:r>
    </w:p>
    <w:p>
      <w:pPr>
        <w:pStyle w:val="Compact"/>
        <w:numPr>
          <w:ilvl w:val="0"/>
          <w:numId w:val="1097"/>
        </w:numPr>
      </w:pPr>
      <w:r>
        <w:t xml:space="preserve">(l) Conserve and create scenic views, to protect views along scenic roadways, and, where appropriate, to preserve the rural character of the Town; and</w:t>
      </w:r>
    </w:p>
    <w:p>
      <w:pPr>
        <w:pStyle w:val="Compact"/>
        <w:numPr>
          <w:ilvl w:val="0"/>
          <w:numId w:val="1097"/>
        </w:numPr>
      </w:pPr>
      <w:r>
        <w:t xml:space="preserve">(m) Provide a buffer between new development and existing streets, neighborhoods, active farmland and adjacent park or conservation land.</w:t>
      </w:r>
    </w:p>
    <w:bookmarkEnd w:id="99"/>
    <w:bookmarkStart w:id="100" w:name="applicability"/>
    <w:p>
      <w:pPr>
        <w:pStyle w:val="Heading2"/>
      </w:pPr>
      <w:r>
        <w:t xml:space="preserve">§ 11-2. Applicability</w:t>
      </w:r>
    </w:p>
    <w:p>
      <w:pPr>
        <w:pStyle w:val="FirstParagraph"/>
      </w:pPr>
      <w:r>
        <w:rPr>
          <w:i/>
          <w:iCs/>
        </w:rPr>
        <w:t xml:space="preserve">[Ord. No. 08-31, 10-7-2009]</w:t>
      </w:r>
    </w:p>
    <w:p>
      <w:pPr>
        <w:pStyle w:val="Compact"/>
        <w:numPr>
          <w:ilvl w:val="0"/>
          <w:numId w:val="1098"/>
        </w:numPr>
      </w:pPr>
      <w:r>
        <w:t xml:space="preserve">(a) The Planning Board may approve a conservation development only in the following agricultural and residence zoning districts: A-1, A-2, R-1, R-2 and R-3. Within the R-2 and R-3 zones, in areas served by both water and sewer, the dwelling units within conservation developments shall consist of only single-family attached units or multifamily units (see subsection 11-3 (a) below).</w:t>
      </w:r>
    </w:p>
    <w:p>
      <w:pPr>
        <w:pStyle w:val="Compact"/>
        <w:numPr>
          <w:ilvl w:val="0"/>
          <w:numId w:val="1098"/>
        </w:numPr>
      </w:pPr>
      <w:r>
        <w:t xml:space="preserve">(b) Conservation developments are reviewed in accordance with the procedures and standards set forth in the land development and subdivision regulations (the "regulations") as either a major or minor subdivision, or land development project, as appropriate.</w:t>
      </w:r>
    </w:p>
    <w:p>
      <w:pPr>
        <w:pStyle w:val="Compact"/>
        <w:numPr>
          <w:ilvl w:val="0"/>
          <w:numId w:val="1098"/>
        </w:numPr>
      </w:pPr>
      <w:r>
        <w:t xml:space="preserve">(c) All major subdivisions, or major residential land development projects whether a subdivision or not, are required to be developed as a conservation development. The Planning Board may permit a conventional subdivision under the provisions of paragraph (e) below.</w:t>
      </w:r>
    </w:p>
    <w:p>
      <w:pPr>
        <w:pStyle w:val="Compact"/>
        <w:numPr>
          <w:ilvl w:val="0"/>
          <w:numId w:val="1098"/>
        </w:numPr>
      </w:pPr>
      <w:r>
        <w:t xml:space="preserve">(d) An applicant for a minor subdivision or minor residential land development project may submit a plan for either a conventional development or for a conservation development.</w:t>
      </w:r>
    </w:p>
    <w:p>
      <w:pPr>
        <w:pStyle w:val="Compact"/>
        <w:numPr>
          <w:ilvl w:val="0"/>
          <w:numId w:val="1098"/>
        </w:numPr>
      </w:pPr>
      <w:r>
        <w:t xml:space="preserve">(e) When a development or subdivision is required or requested by the Planning Board to be developed as a conservation development, and the applicant wishes to develop a conventional subdivision, the applicant shall submit both a concept plan for a conventional subdivision, also referred to as a "conventional yield plan", and an alternate concept plan for a conservation development. In determining which plan is most appropriate, the Planning Board shall consider the following:</w:t>
      </w:r>
    </w:p>
    <w:p>
      <w:pPr>
        <w:pStyle w:val="Compact"/>
        <w:numPr>
          <w:ilvl w:val="1"/>
          <w:numId w:val="1099"/>
        </w:numPr>
      </w:pPr>
      <w:r>
        <w:t xml:space="preserve">(1) Consistency of development plans with the goals and policies of the Cumberland Comprehensive Plan;</w:t>
      </w:r>
    </w:p>
    <w:p>
      <w:pPr>
        <w:pStyle w:val="Compact"/>
        <w:numPr>
          <w:ilvl w:val="1"/>
          <w:numId w:val="1099"/>
        </w:numPr>
      </w:pPr>
      <w:r>
        <w:t xml:space="preserve">(2) Consistency of development plans with the general purposes of conservation developments set forth in § 11-1 herein, and with the general purposes of the regulations;</w:t>
      </w:r>
    </w:p>
    <w:p>
      <w:pPr>
        <w:pStyle w:val="Compact"/>
        <w:numPr>
          <w:ilvl w:val="1"/>
          <w:numId w:val="1099"/>
        </w:numPr>
      </w:pPr>
      <w:r>
        <w:t xml:space="preserve">(3) The physical characteristics and configuration of the land proposed for development; and</w:t>
      </w:r>
    </w:p>
    <w:p>
      <w:pPr>
        <w:pStyle w:val="Compact"/>
        <w:numPr>
          <w:ilvl w:val="1"/>
          <w:numId w:val="1099"/>
        </w:numPr>
      </w:pPr>
      <w:r>
        <w:t xml:space="preserve">(4) Characteristics of the neighborhood and surrounding area.</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Based upon evaluation of the above criteria, the Planning Board may permit the application to be reviewed in a form other than a conservation development. For major subdivisions or land development projects, the Planning Board may make this determination at the pre-application meeting, but no later than the master plan stage of review.</w:t>
            </w:r>
          </w:p>
        </w:tc>
      </w:tr>
    </w:tbl>
    <w:bookmarkEnd w:id="100"/>
    <w:bookmarkStart w:id="101" w:name="permitted-uses-1"/>
    <w:p>
      <w:pPr>
        <w:pStyle w:val="Heading2"/>
      </w:pPr>
      <w:r>
        <w:t xml:space="preserve">§ 11-3. Permitted uses</w:t>
      </w:r>
    </w:p>
    <w:p>
      <w:pPr>
        <w:pStyle w:val="FirstParagraph"/>
      </w:pPr>
      <w:r>
        <w:rPr>
          <w:i/>
          <w:iCs/>
        </w:rPr>
        <w:t xml:space="preserve">[Ord. No. 08-31, 10-7-2009]</w:t>
      </w:r>
    </w:p>
    <w:p>
      <w:pPr>
        <w:pStyle w:val="Compact"/>
        <w:numPr>
          <w:ilvl w:val="0"/>
          <w:numId w:val="1100"/>
        </w:numPr>
      </w:pPr>
      <w:r>
        <w:t xml:space="preserve">(a) Residential and related uses. The following uses are permitted uses on the developed portion of a conservation development site. Where there is a conflict between this section and that contained in the residential section of the Use Table, Article 4, this section shall apply.</w:t>
      </w:r>
    </w:p>
    <w:p>
      <w:pPr>
        <w:pStyle w:val="Compact"/>
        <w:numPr>
          <w:ilvl w:val="1"/>
          <w:numId w:val="1101"/>
        </w:numPr>
      </w:pPr>
      <w:r>
        <w:t xml:space="preserve">(1) One-household detached dwelling, in all A and R zones.</w:t>
      </w:r>
    </w:p>
    <w:p>
      <w:pPr>
        <w:pStyle w:val="Compact"/>
        <w:numPr>
          <w:ilvl w:val="1"/>
          <w:numId w:val="1101"/>
        </w:numPr>
      </w:pPr>
      <w:r>
        <w:t xml:space="preserve">(2) Two-household detached dwelling (duplex), in the R-2 and R-3 zones.</w:t>
      </w:r>
    </w:p>
    <w:p>
      <w:pPr>
        <w:pStyle w:val="Compact"/>
        <w:numPr>
          <w:ilvl w:val="1"/>
          <w:numId w:val="1101"/>
        </w:numPr>
      </w:pPr>
      <w:r>
        <w:t xml:space="preserve">(3) Single-family attached units (townhouses), provided there is no more than two units per structure in the A-1, A-2 and R-1 zones, and no more than eight units per structure in the R-2 zone.</w:t>
      </w:r>
    </w:p>
    <w:p>
      <w:pPr>
        <w:pStyle w:val="Compact"/>
        <w:numPr>
          <w:ilvl w:val="1"/>
          <w:numId w:val="1101"/>
        </w:numPr>
      </w:pPr>
      <w:r>
        <w:t xml:space="preserve">(4) Multi-household dwelling in the R-3 zone.</w:t>
      </w:r>
    </w:p>
    <w:p>
      <w:pPr>
        <w:pStyle w:val="Compact"/>
        <w:numPr>
          <w:ilvl w:val="1"/>
          <w:numId w:val="1101"/>
        </w:numPr>
      </w:pPr>
      <w:r>
        <w:t xml:space="preserve">(5) Accessory dwelling units as provided in § 6-5.</w:t>
      </w:r>
    </w:p>
    <w:p>
      <w:pPr>
        <w:pStyle w:val="Compact"/>
        <w:numPr>
          <w:ilvl w:val="1"/>
          <w:numId w:val="1101"/>
        </w:numPr>
      </w:pPr>
      <w:r>
        <w:t xml:space="preserve">(6) Home occupations as provided in § 6-6.</w:t>
      </w:r>
    </w:p>
    <w:p>
      <w:pPr>
        <w:pStyle w:val="Compact"/>
        <w:numPr>
          <w:ilvl w:val="1"/>
          <w:numId w:val="1101"/>
        </w:numPr>
      </w:pPr>
      <w:r>
        <w:t xml:space="preserve">(7) Accessory uses customarily incidental to a use permitted in the zoning district and located on the same site are permitted by right. Any accessory use customarily incidental to a use allowed by special use permit in the district and located on the same site is permitted by special use permit.</w:t>
      </w:r>
    </w:p>
    <w:p>
      <w:pPr>
        <w:pStyle w:val="Compact"/>
        <w:numPr>
          <w:ilvl w:val="0"/>
          <w:numId w:val="1100"/>
        </w:numPr>
      </w:pPr>
      <w:r>
        <w:t xml:space="preserve">(b) Open space uses. The open space in a conservation development (see § 11-7) shall be devoted only to conservation purposes or for park, passive recreation, forest management and agricultural purposes as approved by the Planning Board. In all zoning districts where conservation developments are permitted, the following uses may also be allowed in open space areas if permitted by the Planning Board in accordance with the applicable provisions of the regulations:</w:t>
      </w:r>
    </w:p>
    <w:p>
      <w:pPr>
        <w:pStyle w:val="Compact"/>
        <w:numPr>
          <w:ilvl w:val="1"/>
          <w:numId w:val="1102"/>
        </w:numPr>
      </w:pPr>
      <w:r>
        <w:t xml:space="preserve">(1) Stormwater drainage areas.</w:t>
      </w:r>
    </w:p>
    <w:p>
      <w:pPr>
        <w:pStyle w:val="Compact"/>
        <w:numPr>
          <w:ilvl w:val="1"/>
          <w:numId w:val="1102"/>
        </w:numPr>
      </w:pPr>
      <w:r>
        <w:t xml:space="preserve">(2) Placement of privately owned and maintained water supply wells for individual uses within the conservation development. Each such well shall be designed to serve only one single-family or one two-family dwelling.</w:t>
      </w:r>
    </w:p>
    <w:p>
      <w:pPr>
        <w:pStyle w:val="Compact"/>
        <w:numPr>
          <w:ilvl w:val="1"/>
          <w:numId w:val="1102"/>
        </w:numPr>
      </w:pPr>
      <w:r>
        <w:t xml:space="preserve">(3) Placement of privately owned and maintained public water supply wells or well fields serving up to 25 connections, for uses within the conservation development and which meet the following conditions:</w:t>
      </w:r>
    </w:p>
    <w:p>
      <w:pPr>
        <w:pStyle w:val="Compact"/>
        <w:numPr>
          <w:ilvl w:val="2"/>
          <w:numId w:val="1103"/>
        </w:numPr>
      </w:pPr>
      <w:r>
        <w:t xml:space="preserve">a. The development is constructed at a density of greater than two dwelling units per acre, or the development consists of multifamily dwellings; and</w:t>
      </w:r>
    </w:p>
    <w:p>
      <w:pPr>
        <w:pStyle w:val="Compact"/>
        <w:numPr>
          <w:ilvl w:val="2"/>
          <w:numId w:val="1103"/>
        </w:numPr>
      </w:pPr>
      <w:r>
        <w:t xml:space="preserve">b. The total number of bedrooms in the conservation development proposed to be serviced by the public water supply well exceeds 12, or the number of persons regularly served in the development exceeds 24.</w:t>
      </w:r>
    </w:p>
    <w:p>
      <w:pPr>
        <w:pStyle w:val="Compact"/>
        <w:numPr>
          <w:ilvl w:val="1"/>
          <w:numId w:val="1102"/>
        </w:numPr>
      </w:pPr>
      <w:r>
        <w:t xml:space="preserve">(4) Placement of privately owned and maintained individual or common sewage disposal systems for uses within the conservation development, if granted as a waiver by the Planning Board.</w:t>
      </w:r>
    </w:p>
    <w:p>
      <w:pPr>
        <w:pStyle w:val="Compact"/>
        <w:numPr>
          <w:ilvl w:val="1"/>
          <w:numId w:val="1102"/>
        </w:numPr>
      </w:pPr>
      <w:r>
        <w:t xml:space="preserve">(5) Buildings, structures, parking areas, active recreation areas or impervious improvements which are accessory to and subordinate to a permitted open space use, provided that, in all cases, they occupy no more than 5% of the total open space area of the conservation development.</w:t>
      </w:r>
    </w:p>
    <w:bookmarkEnd w:id="101"/>
    <w:bookmarkStart w:id="102" w:name="density-regulations"/>
    <w:p>
      <w:pPr>
        <w:pStyle w:val="Heading2"/>
      </w:pPr>
      <w:r>
        <w:t xml:space="preserve">§ 11-4. Density regulations</w:t>
      </w:r>
    </w:p>
    <w:p>
      <w:pPr>
        <w:pStyle w:val="FirstParagraph"/>
      </w:pPr>
      <w:r>
        <w:rPr>
          <w:i/>
          <w:iCs/>
        </w:rPr>
        <w:t xml:space="preserve">[Ord. No. 08-31, 10-7-2009]</w:t>
      </w:r>
    </w:p>
    <w:p>
      <w:pPr>
        <w:pStyle w:val="BodyText"/>
      </w:pPr>
      <w:r>
        <w:t xml:space="preserve">Whether developed as detached buildings on separate lots, or as attached single-family units or multifamily dwellings on commonly owned land, the allowable density for a conservation development shall be equal to that which would otherwise be allowed under the provisions of § 5-2. To determine allowable density, the applicant shall submit a yield plan as provided for in the regulations that indicates the number of lots or dwelling units which could be expected to be developed on the parcel under a conventional development. In reviewing a proposed conservation development, the Planning Board may allow additional density as follows:</w:t>
      </w:r>
    </w:p>
    <w:p>
      <w:pPr>
        <w:pStyle w:val="Compact"/>
        <w:numPr>
          <w:ilvl w:val="0"/>
          <w:numId w:val="1104"/>
        </w:numPr>
      </w:pPr>
      <w:r>
        <w:t xml:space="preserve">(a) To allow the construction of low or moderate income housing units (see Article 15).</w:t>
      </w:r>
    </w:p>
    <w:p>
      <w:pPr>
        <w:pStyle w:val="Compact"/>
        <w:numPr>
          <w:ilvl w:val="0"/>
          <w:numId w:val="1104"/>
        </w:numPr>
      </w:pPr>
      <w:r>
        <w:t xml:space="preserve">(b) To allow the preservation of an existing dwelling which is currently located on the property being developed for any of the following purposes: preservation of historic structures that contribute to the character of an area; maintenance of historic or traditional development patterns; preservation of streetscape features; design of public or common open space; or other design or site planning issues identified in the Cumberland Comprehensive Plan. In such cases, the Planning Board may allow the applicant to exceed the maximum number of permitted dwelling units in the development by one additional dwelling. Any dwelling, not located within an historic district, granted a density bonus under the provisions of this subsection shall be subject to deed restrictions prohibiting the removal or alteration of the dwelling except as may be approved by the Planning Board, with advisory review by the historic district commission, as a condition of approval.</w:t>
      </w:r>
    </w:p>
    <w:bookmarkEnd w:id="102"/>
    <w:bookmarkStart w:id="103" w:name="lot-dimensional-requirements"/>
    <w:p>
      <w:pPr>
        <w:pStyle w:val="Heading2"/>
      </w:pPr>
      <w:r>
        <w:t xml:space="preserve">§ 11-5. Lot dimensional requirements</w:t>
      </w:r>
    </w:p>
    <w:p>
      <w:pPr>
        <w:pStyle w:val="FirstParagraph"/>
      </w:pPr>
      <w:r>
        <w:rPr>
          <w:i/>
          <w:iCs/>
        </w:rPr>
        <w:t xml:space="preserve">[Ord. No. 08-31, 10-7-2009]</w:t>
      </w:r>
    </w:p>
    <w:p>
      <w:pPr>
        <w:pStyle w:val="BodyText"/>
      </w:pPr>
      <w:r>
        <w:t xml:space="preserve">Applicants are encouraged to modify lot area, shape and other dimensional characteristics within a conservation development in order to meet the purposes of this article. A conservation development may be developed with dwelling units on separate lots, a single lot or a combination thereof. Where dwellings are proposed to be located on individual lots, the dimensional regulations provided in the table below shall be applicable. Maximum lot coverage shall be applied to the total developed area. Internal dimensional regulations for Townhouses and multifamily dwellings shall be governed by § 5-5.</w:t>
      </w:r>
    </w:p>
    <w:p>
      <w:pPr>
        <w:pStyle w:val="BodyText"/>
      </w:pPr>
      <w:r>
        <w:rPr>
          <w:i/>
          <w:iCs/>
        </w:rPr>
        <w:t xml:space="preserve">Editor's Note: The table entitled "Dimensional Requirements in a Conservation Development" is included as an attachment to this chapter.</w:t>
      </w:r>
    </w:p>
    <w:bookmarkEnd w:id="103"/>
    <w:bookmarkStart w:id="104" w:name="flexible-lot-frontage-and-width"/>
    <w:p>
      <w:pPr>
        <w:pStyle w:val="Heading2"/>
      </w:pPr>
      <w:r>
        <w:t xml:space="preserve">§ 11-6. Flexible lot frontage and width</w:t>
      </w:r>
    </w:p>
    <w:p>
      <w:pPr>
        <w:pStyle w:val="FirstParagraph"/>
      </w:pPr>
      <w:r>
        <w:rPr>
          <w:i/>
          <w:iCs/>
        </w:rPr>
        <w:t xml:space="preserve">[Ord. No. 08-31, 10-7-2009]</w:t>
      </w:r>
    </w:p>
    <w:p>
      <w:pPr>
        <w:pStyle w:val="Compact"/>
        <w:numPr>
          <w:ilvl w:val="0"/>
          <w:numId w:val="1105"/>
        </w:numPr>
      </w:pPr>
      <w:r>
        <w:t xml:space="preserve">(a) For a proposed conservation development, the applicant may request a waiver for, and the Planning Board may permit, the following variations in lot frontage and lot width:</w:t>
      </w:r>
    </w:p>
    <w:p>
      <w:pPr>
        <w:pStyle w:val="Compact"/>
        <w:numPr>
          <w:ilvl w:val="1"/>
          <w:numId w:val="1106"/>
        </w:numPr>
      </w:pPr>
      <w:r>
        <w:t xml:space="preserve">(1) Lot frontage and lot width of newly created lots on any public or approved private street may be reduced to a minimum of 20 feet.</w:t>
      </w:r>
    </w:p>
    <w:p>
      <w:pPr>
        <w:pStyle w:val="Compact"/>
        <w:numPr>
          <w:ilvl w:val="1"/>
          <w:numId w:val="1106"/>
        </w:numPr>
      </w:pPr>
      <w:r>
        <w:t xml:space="preserve">(2) Lots set aside as open space may have zero frontage on a street, as long as the Planning Board approves access to the open space by easement.</w:t>
      </w:r>
    </w:p>
    <w:p>
      <w:pPr>
        <w:pStyle w:val="Compact"/>
        <w:numPr>
          <w:ilvl w:val="0"/>
          <w:numId w:val="1105"/>
        </w:numPr>
      </w:pPr>
      <w:r>
        <w:t xml:space="preserve">(b) No more buildable lots shall be allowed using flexible lot frontage and width provisions than are allowed by using conventional frontage and width provisions, as shown on the conventional yield plan. This shall not prohibit, however, additional lots or units granted as a density bonus pursuant to § 11-4.</w:t>
      </w:r>
    </w:p>
    <w:bookmarkEnd w:id="104"/>
    <w:bookmarkStart w:id="105" w:name="open-space-in-conservation-developments"/>
    <w:p>
      <w:pPr>
        <w:pStyle w:val="Heading2"/>
      </w:pPr>
      <w:r>
        <w:t xml:space="preserve">§ 11-7. Open space in conservation developments</w:t>
      </w:r>
    </w:p>
    <w:p>
      <w:pPr>
        <w:pStyle w:val="FirstParagraph"/>
      </w:pPr>
      <w:r>
        <w:rPr>
          <w:i/>
          <w:iCs/>
        </w:rPr>
        <w:t xml:space="preserve">[Ord. No. 08-31, 10-7-2009]</w:t>
      </w:r>
    </w:p>
    <w:p>
      <w:pPr>
        <w:pStyle w:val="BodyText"/>
      </w:pPr>
      <w:r>
        <w:t xml:space="preserve">The open space required to be set aside as part of a conservation development shall be established as a lot or lots separate and distinct from those lots intended for residential and accessory uses, and from land dedicated as street rights-of-way. The minimum amount of required open space area shall be based on a percentage of the land suitable for development in the entire conservation development site as provided in the table below. None of the minimum required open space area shall be devoted to land unsuitable for development as defined § 5-8 of this appendix.</w:t>
      </w:r>
    </w:p>
    <w:tbl>
      <w:tblPr>
        <w:tblStyle w:val="Table"/>
        <w:tblW w:type="pct" w:w="5000"/>
        <w:jc w:val="left"/>
        <w:tblLayout w:type="fixed"/>
        <w:tblLook w:firstRow="0" w:lastRow="0" w:firstColumn="0" w:lastColumn="0" w:noHBand="0" w:noVBand="0" w:val="0000"/>
      </w:tblPr>
      <w:tblGrid>
        <w:gridCol w:w="1980"/>
        <w:gridCol w:w="1980"/>
        <w:gridCol w:w="1980"/>
        <w:gridCol w:w="1980"/>
      </w:tblGrid>
      <w:tr>
        <w:tc>
          <w:tcPr>
            <w:gridSpan w:val="3"/>
          </w:tcPr>
          <w:p>
            <w:pPr>
              <w:pStyle w:val="Compact"/>
              <w:jc w:val="left"/>
            </w:pPr>
            <w:r>
              <w:rPr>
                <w:b/>
                <w:bCs/>
              </w:rPr>
              <w:t xml:space="preserve">Zoning District</w:t>
            </w:r>
          </w:p>
        </w:tc>
        <w:tc>
          <w:tcPr/>
          <w:p>
            <w:pPr>
              <w:pStyle w:val="Compact"/>
              <w:jc w:val="left"/>
            </w:pPr>
            <w:r>
              <w:rPr>
                <w:b/>
                <w:bCs/>
              </w:rPr>
              <w:t xml:space="preserve">Minimum Percentage of Land Suitable for Development Dedicated as Open Space</w:t>
            </w:r>
          </w:p>
        </w:tc>
      </w:tr>
      <w:tr>
        <w:tc>
          <w:tcPr>
            <w:gridSpan w:val="3"/>
          </w:tcPr>
          <w:p>
            <w:pPr>
              <w:pStyle w:val="Compact"/>
              <w:jc w:val="left"/>
            </w:pPr>
            <w:r>
              <w:t xml:space="preserve">A-1</w:t>
            </w:r>
          </w:p>
        </w:tc>
        <w:tc>
          <w:tcPr/>
          <w:p>
            <w:pPr>
              <w:pStyle w:val="Compact"/>
              <w:jc w:val="left"/>
            </w:pPr>
            <w:r>
              <w:t xml:space="preserve">75%</w:t>
            </w:r>
          </w:p>
        </w:tc>
      </w:tr>
      <w:tr>
        <w:tc>
          <w:tcPr>
            <w:gridSpan w:val="3"/>
          </w:tcPr>
          <w:p>
            <w:pPr>
              <w:pStyle w:val="Compact"/>
              <w:jc w:val="left"/>
            </w:pPr>
            <w:r>
              <w:t xml:space="preserve">A-2</w:t>
            </w:r>
          </w:p>
        </w:tc>
        <w:tc>
          <w:tcPr/>
          <w:p>
            <w:pPr>
              <w:pStyle w:val="Compact"/>
              <w:jc w:val="left"/>
            </w:pPr>
            <w:r>
              <w:t xml:space="preserve">60%</w:t>
            </w:r>
          </w:p>
        </w:tc>
      </w:tr>
      <w:tr>
        <w:tc>
          <w:tcPr>
            <w:gridSpan w:val="3"/>
          </w:tcPr>
          <w:p>
            <w:pPr>
              <w:pStyle w:val="Compact"/>
              <w:jc w:val="left"/>
            </w:pPr>
            <w:r>
              <w:t xml:space="preserve">R-1</w:t>
            </w:r>
          </w:p>
        </w:tc>
        <w:tc>
          <w:tcPr/>
          <w:p>
            <w:pPr>
              <w:pStyle w:val="Compact"/>
            </w:pPr>
          </w:p>
        </w:tc>
      </w:tr>
      <w:tr>
        <w:tc>
          <w:tcPr/>
          <w:p>
            <w:pPr>
              <w:pStyle w:val="Compact"/>
            </w:pPr>
          </w:p>
        </w:tc>
        <w:tc>
          <w:tcPr>
            <w:gridSpan w:val="2"/>
          </w:tcPr>
          <w:p>
            <w:pPr>
              <w:pStyle w:val="Compact"/>
              <w:jc w:val="left"/>
            </w:pPr>
            <w:r>
              <w:t xml:space="preserve">No water or sewer</w:t>
            </w:r>
          </w:p>
        </w:tc>
        <w:tc>
          <w:tcPr/>
          <w:p>
            <w:pPr>
              <w:pStyle w:val="Compact"/>
              <w:jc w:val="left"/>
            </w:pPr>
            <w:r>
              <w:t xml:space="preserve">60%</w:t>
            </w:r>
          </w:p>
        </w:tc>
      </w:tr>
      <w:tr>
        <w:tc>
          <w:tcPr/>
          <w:p>
            <w:pPr>
              <w:pStyle w:val="Compact"/>
            </w:pPr>
          </w:p>
        </w:tc>
        <w:tc>
          <w:tcPr>
            <w:gridSpan w:val="2"/>
          </w:tcPr>
          <w:p>
            <w:pPr>
              <w:pStyle w:val="Compact"/>
              <w:jc w:val="left"/>
            </w:pPr>
            <w:r>
              <w:t xml:space="preserve">Water/no sewer or sewer/no water</w:t>
            </w:r>
          </w:p>
        </w:tc>
        <w:tc>
          <w:tcPr/>
          <w:p>
            <w:pPr>
              <w:pStyle w:val="Compact"/>
              <w:jc w:val="left"/>
            </w:pPr>
            <w:r>
              <w:t xml:space="preserve">50%</w:t>
            </w:r>
          </w:p>
        </w:tc>
      </w:tr>
      <w:tr>
        <w:tc>
          <w:tcPr/>
          <w:p>
            <w:pPr>
              <w:pStyle w:val="Compact"/>
            </w:pPr>
          </w:p>
        </w:tc>
        <w:tc>
          <w:tcPr>
            <w:gridSpan w:val="2"/>
          </w:tcPr>
          <w:p>
            <w:pPr>
              <w:pStyle w:val="Compact"/>
              <w:jc w:val="left"/>
            </w:pPr>
            <w:r>
              <w:t xml:space="preserve">Both water and sewer</w:t>
            </w:r>
          </w:p>
        </w:tc>
        <w:tc>
          <w:tcPr/>
          <w:p>
            <w:pPr>
              <w:pStyle w:val="Compact"/>
              <w:jc w:val="left"/>
            </w:pPr>
            <w:r>
              <w:t xml:space="preserve">35%</w:t>
            </w:r>
          </w:p>
        </w:tc>
      </w:tr>
      <w:tr>
        <w:tc>
          <w:tcPr>
            <w:gridSpan w:val="3"/>
          </w:tcPr>
          <w:p>
            <w:pPr>
              <w:pStyle w:val="Compact"/>
              <w:jc w:val="left"/>
            </w:pPr>
            <w:r>
              <w:t xml:space="preserve">R-2 and R-3</w:t>
            </w:r>
          </w:p>
        </w:tc>
        <w:tc>
          <w:tcPr/>
          <w:p>
            <w:pPr>
              <w:pStyle w:val="Compact"/>
            </w:pPr>
          </w:p>
        </w:tc>
      </w:tr>
      <w:tr>
        <w:tc>
          <w:tcPr/>
          <w:p>
            <w:pPr>
              <w:pStyle w:val="Compact"/>
            </w:pPr>
          </w:p>
        </w:tc>
        <w:tc>
          <w:tcPr>
            <w:gridSpan w:val="2"/>
          </w:tcPr>
          <w:p>
            <w:pPr>
              <w:pStyle w:val="Compact"/>
              <w:jc w:val="left"/>
            </w:pPr>
            <w:r>
              <w:t xml:space="preserve">No water or sewer</w:t>
            </w:r>
          </w:p>
        </w:tc>
        <w:tc>
          <w:tcPr/>
          <w:p>
            <w:pPr>
              <w:pStyle w:val="Compact"/>
              <w:jc w:val="left"/>
            </w:pPr>
            <w:r>
              <w:t xml:space="preserve">N/A</w:t>
            </w:r>
            <w:r>
              <w:br/>
            </w:r>
            <w:r>
              <w:rPr>
                <w:vertAlign w:val="superscript"/>
              </w:rPr>
              <w:t xml:space="preserve">1</w:t>
            </w:r>
          </w:p>
        </w:tc>
      </w:tr>
      <w:tr>
        <w:tc>
          <w:tcPr/>
          <w:p>
            <w:pPr>
              <w:pStyle w:val="Compact"/>
            </w:pPr>
          </w:p>
        </w:tc>
        <w:tc>
          <w:tcPr>
            <w:gridSpan w:val="2"/>
          </w:tcPr>
          <w:p>
            <w:pPr>
              <w:pStyle w:val="Compact"/>
              <w:jc w:val="left"/>
            </w:pPr>
            <w:r>
              <w:t xml:space="preserve">Water/no sewer or sewer/no water</w:t>
            </w:r>
          </w:p>
        </w:tc>
        <w:tc>
          <w:tcPr/>
          <w:p>
            <w:pPr>
              <w:pStyle w:val="Compact"/>
            </w:pPr>
          </w:p>
        </w:tc>
      </w:tr>
      <w:tr>
        <w:tc>
          <w:tcPr/>
          <w:p>
            <w:pPr>
              <w:pStyle w:val="Compact"/>
            </w:pPr>
          </w:p>
        </w:tc>
        <w:tc>
          <w:tcPr/>
          <w:p>
            <w:pPr>
              <w:pStyle w:val="Compact"/>
            </w:pPr>
          </w:p>
        </w:tc>
        <w:tc>
          <w:tcPr/>
          <w:p>
            <w:pPr>
              <w:pStyle w:val="Compact"/>
              <w:jc w:val="left"/>
            </w:pPr>
            <w:r>
              <w:t xml:space="preserve">Single-family</w:t>
            </w:r>
          </w:p>
        </w:tc>
        <w:tc>
          <w:tcPr/>
          <w:p>
            <w:pPr>
              <w:pStyle w:val="Compact"/>
              <w:jc w:val="left"/>
            </w:pPr>
            <w:r>
              <w:t xml:space="preserve">30%</w:t>
            </w:r>
          </w:p>
        </w:tc>
      </w:tr>
      <w:tr>
        <w:tc>
          <w:tcPr/>
          <w:p>
            <w:pPr>
              <w:pStyle w:val="Compact"/>
            </w:pPr>
          </w:p>
        </w:tc>
        <w:tc>
          <w:tcPr/>
          <w:p>
            <w:pPr>
              <w:pStyle w:val="Compact"/>
            </w:pPr>
          </w:p>
        </w:tc>
        <w:tc>
          <w:tcPr/>
          <w:p>
            <w:pPr>
              <w:pStyle w:val="Compact"/>
              <w:jc w:val="left"/>
            </w:pPr>
            <w:r>
              <w:t xml:space="preserve">Two-family</w:t>
            </w:r>
          </w:p>
        </w:tc>
        <w:tc>
          <w:tcPr/>
          <w:p>
            <w:pPr>
              <w:pStyle w:val="Compact"/>
              <w:jc w:val="left"/>
            </w:pPr>
            <w:r>
              <w:t xml:space="preserve">50%</w:t>
            </w:r>
          </w:p>
        </w:tc>
      </w:tr>
      <w:tr>
        <w:tc>
          <w:tcPr/>
          <w:p>
            <w:pPr>
              <w:pStyle w:val="Compact"/>
            </w:pPr>
          </w:p>
        </w:tc>
        <w:tc>
          <w:tcPr>
            <w:gridSpan w:val="2"/>
          </w:tcPr>
          <w:p>
            <w:pPr>
              <w:pStyle w:val="Compact"/>
              <w:jc w:val="left"/>
            </w:pPr>
            <w:r>
              <w:t xml:space="preserve">Both water and sewer</w:t>
            </w:r>
          </w:p>
        </w:tc>
        <w:tc>
          <w:tcPr/>
          <w:p>
            <w:pPr>
              <w:pStyle w:val="Compact"/>
            </w:pPr>
          </w:p>
        </w:tc>
      </w:tr>
      <w:tr>
        <w:tc>
          <w:tcPr/>
          <w:p>
            <w:pPr>
              <w:pStyle w:val="Compact"/>
            </w:pPr>
          </w:p>
        </w:tc>
        <w:tc>
          <w:tcPr/>
          <w:p>
            <w:pPr>
              <w:pStyle w:val="Compact"/>
            </w:pPr>
          </w:p>
        </w:tc>
        <w:tc>
          <w:tcPr/>
          <w:p>
            <w:pPr>
              <w:pStyle w:val="Compact"/>
              <w:jc w:val="left"/>
            </w:pPr>
            <w:r>
              <w:t xml:space="preserve">Single-family or two-family</w:t>
            </w:r>
          </w:p>
        </w:tc>
        <w:tc>
          <w:tcPr/>
          <w:p>
            <w:pPr>
              <w:pStyle w:val="Compact"/>
              <w:jc w:val="left"/>
            </w:pPr>
            <w:r>
              <w:t xml:space="preserve">N/A</w:t>
            </w:r>
            <w:r>
              <w:br/>
            </w:r>
            <w:r>
              <w:rPr>
                <w:vertAlign w:val="superscript"/>
              </w:rPr>
              <w:t xml:space="preserve">2</w:t>
            </w:r>
          </w:p>
        </w:tc>
      </w:tr>
      <w:tr>
        <w:tc>
          <w:tcPr/>
          <w:p>
            <w:pPr>
              <w:pStyle w:val="Compact"/>
            </w:pPr>
          </w:p>
        </w:tc>
        <w:tc>
          <w:tcPr/>
          <w:p>
            <w:pPr>
              <w:pStyle w:val="Compact"/>
            </w:pPr>
          </w:p>
        </w:tc>
        <w:tc>
          <w:tcPr/>
          <w:p>
            <w:pPr>
              <w:pStyle w:val="Compact"/>
              <w:jc w:val="left"/>
            </w:pPr>
            <w:r>
              <w:t xml:space="preserve">Single-family attached or multifamily</w:t>
            </w:r>
          </w:p>
        </w:tc>
        <w:tc>
          <w:tcPr/>
          <w:p>
            <w:pPr>
              <w:pStyle w:val="Compact"/>
              <w:jc w:val="left"/>
            </w:pPr>
            <w:r>
              <w:t xml:space="preserve">25%</w:t>
            </w:r>
          </w:p>
        </w:tc>
      </w:tr>
    </w:tbl>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There are no areas within the R-2 and R-3 Zones without either water facilities or public sewers.</w:t>
            </w:r>
          </w:p>
        </w:tc>
      </w:tr>
      <w:tr>
        <w:tc>
          <w:tcPr/>
          <w:p>
            <w:pPr>
              <w:pStyle w:val="Compact"/>
              <w:jc w:val="left"/>
            </w:pPr>
            <w:r>
              <w:rPr>
                <w:vertAlign w:val="superscript"/>
              </w:rPr>
              <w:t xml:space="preserve">2</w:t>
            </w:r>
          </w:p>
        </w:tc>
        <w:tc>
          <w:tcPr/>
          <w:p>
            <w:pPr>
              <w:pStyle w:val="Compact"/>
              <w:jc w:val="left"/>
            </w:pPr>
            <w:r>
              <w:t xml:space="preserve">In areas in the R-2 and R-3 Zones served by both water and sewer the dwelling units shall consist of only single-family attached units or multifamily units.</w:t>
            </w:r>
          </w:p>
        </w:tc>
      </w:tr>
    </w:tbl>
    <w:bookmarkEnd w:id="105"/>
    <w:bookmarkStart w:id="106" w:name="review-of-development-applications"/>
    <w:p>
      <w:pPr>
        <w:pStyle w:val="Heading1"/>
      </w:pPr>
      <w:r>
        <w:t xml:space="preserve">§ 12. Review of Development Applications</w:t>
      </w:r>
    </w:p>
    <w:bookmarkEnd w:id="106"/>
    <w:bookmarkStart w:id="107" w:name="authority-and-purpose"/>
    <w:p>
      <w:pPr>
        <w:pStyle w:val="Heading2"/>
      </w:pPr>
      <w:r>
        <w:t xml:space="preserve">§ 12-1. Authority and purpose</w:t>
      </w:r>
    </w:p>
    <w:p>
      <w:pPr>
        <w:pStyle w:val="FirstParagraph"/>
      </w:pPr>
      <w:r>
        <w:rPr>
          <w:i/>
          <w:iCs/>
        </w:rPr>
        <w:t xml:space="preserve">[Ord. No. 08-31, 10-7-2009]</w:t>
      </w:r>
    </w:p>
    <w:p>
      <w:pPr>
        <w:pStyle w:val="Compact"/>
        <w:numPr>
          <w:ilvl w:val="0"/>
          <w:numId w:val="1107"/>
        </w:numPr>
      </w:pPr>
      <w:r>
        <w:t xml:space="preserve">(a) Authority. This article is adopted pursuant to G.L. § 45-24-47 and G.L. § 45-24-49, as amended. The Cumberland Planning Board shall have the administrative authority and duty, in accordance with the requirements of the zoning ordinance and the land development and subdivision regulations (the "regulations") to review and approve all plans subject to development review. Development review shall be required for certain types of development as described in § 12-3 below, but will not preclude the need to meet other requirements as contained in this appendix, nor be used to deny a permitted use as provided in Article 4.</w:t>
      </w:r>
    </w:p>
    <w:p>
      <w:pPr>
        <w:pStyle w:val="Compact"/>
        <w:numPr>
          <w:ilvl w:val="0"/>
          <w:numId w:val="1107"/>
        </w:numPr>
      </w:pPr>
      <w:r>
        <w:t xml:space="preserve">(b) Purpose. The purpose of development review is to ensure that industrial, commercial, mixed-use and planned developments are consistent with the goals and policies of the Cumberland Comprehensive Plan, and that such development has a high quality site and architectural design compatible with adjoining areas and the historic development pattern of the Town; safe and convenient traffic circulation; and appropriate signage, landscaping and lighting.</w:t>
      </w:r>
    </w:p>
    <w:bookmarkEnd w:id="107"/>
    <w:bookmarkStart w:id="108" w:name="general-provisions-1"/>
    <w:p>
      <w:pPr>
        <w:pStyle w:val="Heading2"/>
      </w:pPr>
      <w:r>
        <w:t xml:space="preserve">§ 12-2. General provisions</w:t>
      </w:r>
    </w:p>
    <w:p>
      <w:pPr>
        <w:pStyle w:val="FirstParagraph"/>
      </w:pPr>
      <w:r>
        <w:rPr>
          <w:i/>
          <w:iCs/>
        </w:rPr>
        <w:t xml:space="preserve">[Ord. No. 08-31, 10-7-2009; amended 12-6-2023 by Ord. No. 23-26]</w:t>
      </w:r>
    </w:p>
    <w:p>
      <w:pPr>
        <w:pStyle w:val="BodyText"/>
      </w:pPr>
      <w:r>
        <w:t xml:space="preserve">The review processes for development subject to review under this article are hereby established as follows:</w:t>
      </w:r>
    </w:p>
    <w:p>
      <w:pPr>
        <w:pStyle w:val="Compact"/>
        <w:numPr>
          <w:ilvl w:val="0"/>
          <w:numId w:val="1108"/>
        </w:numPr>
      </w:pPr>
      <w:r>
        <w:t xml:space="preserve">(a) Development Plan Review.</w:t>
      </w:r>
    </w:p>
    <w:p>
      <w:pPr>
        <w:pStyle w:val="Compact"/>
        <w:numPr>
          <w:ilvl w:val="1"/>
          <w:numId w:val="1109"/>
        </w:numPr>
      </w:pPr>
      <w:r>
        <w:t xml:space="preserve">(1) A zoning ordinance shall permit development plan review of applications pursuant to R.I.G.L. AA 45-23-50 for uses that are permitted by right.</w:t>
      </w:r>
    </w:p>
    <w:p>
      <w:pPr>
        <w:pStyle w:val="Compact"/>
        <w:numPr>
          <w:ilvl w:val="1"/>
          <w:numId w:val="1109"/>
        </w:numPr>
      </w:pPr>
      <w:r>
        <w:t xml:space="preserve">(2) Permitting authority. The permitting authority for administrative projects shall be the Administrative Officer; the permitting authority for formal projects shall be the Planning Board.</w:t>
      </w:r>
    </w:p>
    <w:p>
      <w:pPr>
        <w:pStyle w:val="Compact"/>
        <w:numPr>
          <w:ilvl w:val="1"/>
          <w:numId w:val="1109"/>
        </w:numPr>
      </w:pPr>
      <w:r>
        <w:t xml:space="preserve">(3) Specific and objective guidelines. Design of all projects shall be consistent with the provisions of these regulations.</w:t>
      </w:r>
    </w:p>
    <w:p>
      <w:pPr>
        <w:pStyle w:val="Compact"/>
        <w:numPr>
          <w:ilvl w:val="1"/>
          <w:numId w:val="1109"/>
        </w:numPr>
      </w:pPr>
      <w:r>
        <w:t xml:space="preserve">(4) Zoning relief. The permitting authority may grant relief from the zoning ordinance as modifications or under unified development review, as may be appropriate.</w:t>
      </w:r>
    </w:p>
    <w:p>
      <w:pPr>
        <w:pStyle w:val="Compact"/>
        <w:numPr>
          <w:ilvl w:val="1"/>
          <w:numId w:val="1109"/>
        </w:numPr>
      </w:pPr>
      <w:r>
        <w:t xml:space="preserve">(5) Zoning incentives are permitted under the following circumstances:</w:t>
      </w:r>
    </w:p>
    <w:p>
      <w:pPr>
        <w:pStyle w:val="Compact"/>
        <w:numPr>
          <w:ilvl w:val="2"/>
          <w:numId w:val="1110"/>
        </w:numPr>
      </w:pPr>
      <w:r>
        <w:t xml:space="preserve">a. Reserved. (No zoning incentives are permitted at this time.)</w:t>
      </w:r>
    </w:p>
    <w:p>
      <w:pPr>
        <w:pStyle w:val="Compact"/>
        <w:numPr>
          <w:ilvl w:val="1"/>
          <w:numId w:val="1109"/>
        </w:numPr>
      </w:pPr>
      <w:r>
        <w:t xml:space="preserve">(6) Appeal. A rejection of the decision shall be an appealable decision pursuant to R.I.G.L. AA 45-23-71.</w:t>
      </w:r>
    </w:p>
    <w:p>
      <w:pPr>
        <w:pStyle w:val="Compact"/>
        <w:numPr>
          <w:ilvl w:val="0"/>
          <w:numId w:val="1108"/>
        </w:numPr>
      </w:pPr>
      <w:r>
        <w:t xml:space="preserve">(b) Land Development Project Review.</w:t>
      </w:r>
    </w:p>
    <w:p>
      <w:pPr>
        <w:pStyle w:val="Compact"/>
        <w:numPr>
          <w:ilvl w:val="1"/>
          <w:numId w:val="1111"/>
        </w:numPr>
      </w:pPr>
      <w:r>
        <w:t xml:space="preserve">(1) Land development projects shall be reviewed in accordance with the procedures established by these regulations, including those for appeal and judicial review, whether or not the land development project constitutes a "subdivision," as defined in these regulations.</w:t>
      </w:r>
    </w:p>
    <w:p>
      <w:pPr>
        <w:pStyle w:val="Compact"/>
        <w:numPr>
          <w:ilvl w:val="1"/>
          <w:numId w:val="1111"/>
        </w:numPr>
      </w:pPr>
      <w:r>
        <w:t xml:space="preserve">(2) No land development project shall be initiated until a plan of the project has been submitted to the authorized permitting authority. The requirements, procedures, and standards for review and approval of land development projects are provided in these regulations.</w:t>
      </w:r>
    </w:p>
    <w:p>
      <w:pPr>
        <w:pStyle w:val="Compact"/>
        <w:numPr>
          <w:ilvl w:val="1"/>
          <w:numId w:val="1111"/>
        </w:numPr>
      </w:pPr>
      <w:r>
        <w:t xml:space="preserve">(3) Permitting authority. The review is conducted by the Administrative Officer, in the case of minor land development projects, and by the Planning Board, in the case of major land development projects in accordance with the provisions of R.I.G.L. AA 45-24-47 and AA 45-23-38 et seq.</w:t>
      </w:r>
    </w:p>
    <w:p>
      <w:pPr>
        <w:pStyle w:val="Compact"/>
        <w:numPr>
          <w:ilvl w:val="1"/>
          <w:numId w:val="1111"/>
        </w:numPr>
      </w:pPr>
      <w:r>
        <w:t xml:space="preserve">(4) Zoning incentives are permitted under the following circumstances:</w:t>
      </w:r>
    </w:p>
    <w:p>
      <w:pPr>
        <w:pStyle w:val="Compact"/>
        <w:numPr>
          <w:ilvl w:val="2"/>
          <w:numId w:val="1112"/>
        </w:numPr>
      </w:pPr>
      <w:r>
        <w:t xml:space="preserve">a. Reserved. (No zoning incentives are permitted at this time.)</w:t>
      </w:r>
    </w:p>
    <w:p>
      <w:pPr>
        <w:pStyle w:val="Compact"/>
        <w:numPr>
          <w:ilvl w:val="1"/>
          <w:numId w:val="1111"/>
        </w:numPr>
      </w:pPr>
      <w:r>
        <w:t xml:space="preserve">(5) The permitting authority may impose special conditions and stipulations to the approval that may, in the opinion of the permitting authority, be required to maintain harmony with neighboring uses and promote the objectives and purposes of the comprehensive plan and this appendix.</w:t>
      </w:r>
    </w:p>
    <w:p>
      <w:pPr>
        <w:pStyle w:val="Compact"/>
        <w:numPr>
          <w:ilvl w:val="0"/>
          <w:numId w:val="1108"/>
        </w:numPr>
      </w:pPr>
      <w:r>
        <w:t xml:space="preserve">(c) Unified Development Review.</w:t>
      </w:r>
    </w:p>
    <w:p>
      <w:pPr>
        <w:pStyle w:val="Compact"/>
        <w:numPr>
          <w:ilvl w:val="1"/>
          <w:numId w:val="1113"/>
        </w:numPr>
      </w:pPr>
      <w:r>
        <w:t xml:space="preserve">(1) Unified development plan review established. There shall be unified development review for subdivisions and land development projects that require variance(s) and/or special use permit(s).</w:t>
      </w:r>
    </w:p>
    <w:p>
      <w:pPr>
        <w:pStyle w:val="Compact"/>
        <w:numPr>
          <w:ilvl w:val="1"/>
          <w:numId w:val="1113"/>
        </w:numPr>
      </w:pPr>
      <w:r>
        <w:t xml:space="preserve">(2) Permitting authority. The permitting authority shall be the Planning Board.</w:t>
      </w:r>
    </w:p>
    <w:p>
      <w:pPr>
        <w:pStyle w:val="Compact"/>
        <w:numPr>
          <w:ilvl w:val="1"/>
          <w:numId w:val="1113"/>
        </w:numPr>
      </w:pPr>
      <w:r>
        <w:t xml:space="preserve">(3) In granting requests for dimensional and use variance, the Planning Board shall be bound to the requirements of R.I.G.L. AA 45-24-41 relative to entering evidence into the record in satisfaction of the applicable standards.</w:t>
      </w:r>
    </w:p>
    <w:p>
      <w:pPr>
        <w:pStyle w:val="Compact"/>
        <w:numPr>
          <w:ilvl w:val="1"/>
          <w:numId w:val="1113"/>
        </w:numPr>
      </w:pPr>
      <w:r>
        <w:t xml:space="preserve">(4) In granting for special use permits, the Planning Board shall be bound to the conditions and procedures under which a special use permit may be issued and the criteria for the issuance of such permits and shall be required to provide for the recording of findings of fact and written decisions.</w:t>
      </w:r>
    </w:p>
    <w:p>
      <w:pPr>
        <w:pStyle w:val="Compact"/>
        <w:numPr>
          <w:ilvl w:val="1"/>
          <w:numId w:val="1113"/>
        </w:numPr>
      </w:pPr>
      <w:r>
        <w:t xml:space="preserve">(5) An appeal from any decision made pursuant to this section may be taken pursuant to R.I.G.L. AA 45-23-71.</w:t>
      </w:r>
    </w:p>
    <w:p>
      <w:pPr>
        <w:pStyle w:val="Compact"/>
        <w:numPr>
          <w:ilvl w:val="0"/>
          <w:numId w:val="1108"/>
        </w:numPr>
      </w:pPr>
      <w:r>
        <w:t xml:space="preserve">(d) Technical Review Committee.</w:t>
      </w:r>
    </w:p>
    <w:p>
      <w:pPr>
        <w:pStyle w:val="Compact"/>
        <w:numPr>
          <w:ilvl w:val="1"/>
          <w:numId w:val="1114"/>
        </w:numPr>
      </w:pPr>
      <w:r>
        <w:t xml:space="preserve">(1) There is hereby established a Technical Review Committee (TRC) in accordance with R.I.G.L. AA 45-23-56, the members of which shall be:</w:t>
      </w:r>
    </w:p>
    <w:p>
      <w:pPr>
        <w:pStyle w:val="Compact"/>
        <w:numPr>
          <w:ilvl w:val="2"/>
          <w:numId w:val="1115"/>
        </w:numPr>
      </w:pPr>
      <w:r>
        <w:t xml:space="preserve">a. The Director of Planning and Development (Administrative Officer), who shall serve as chairperson;</w:t>
      </w:r>
    </w:p>
    <w:p>
      <w:pPr>
        <w:pStyle w:val="Compact"/>
        <w:numPr>
          <w:ilvl w:val="2"/>
          <w:numId w:val="1115"/>
        </w:numPr>
      </w:pPr>
      <w:r>
        <w:t xml:space="preserve">b. The Director of Public Works or his/her designee;</w:t>
      </w:r>
    </w:p>
    <w:p>
      <w:pPr>
        <w:pStyle w:val="Compact"/>
        <w:numPr>
          <w:ilvl w:val="2"/>
          <w:numId w:val="1115"/>
        </w:numPr>
      </w:pPr>
      <w:r>
        <w:t xml:space="preserve">c. The Building/Zoning Official or his/her designee;</w:t>
      </w:r>
    </w:p>
    <w:p>
      <w:pPr>
        <w:pStyle w:val="Compact"/>
        <w:numPr>
          <w:ilvl w:val="2"/>
          <w:numId w:val="1115"/>
        </w:numPr>
      </w:pPr>
      <w:r>
        <w:t xml:space="preserve">d. The Chief of the Fire Department or his/her designee;</w:t>
      </w:r>
    </w:p>
    <w:p>
      <w:pPr>
        <w:pStyle w:val="Compact"/>
        <w:numPr>
          <w:ilvl w:val="2"/>
          <w:numId w:val="1115"/>
        </w:numPr>
      </w:pPr>
      <w:r>
        <w:t xml:space="preserve">e. A member of the public who has expertise in the design and development of construction, including, but not limited to, surveyors, engineers, architects, landscape architects, and contractors. The member of the public may be appointed by the Planning Board and shall serve a two-year term and thereafter until such time as a successor is appointed.</w:t>
      </w:r>
    </w:p>
    <w:tbl>
      <w:tblPr>
        <w:tblStyle w:val="Table"/>
        <w:tblW w:type="auto" w:w="0"/>
        <w:jc w:val="left"/>
        <w:tblInd w:w="2160" w:type="dxa"/>
        <w:tblLook w:firstRow="0" w:lastRow="0" w:firstColumn="0" w:lastColumn="0" w:noHBand="0" w:noVBand="0" w:val="0000"/>
      </w:tblPr>
      <w:tblGrid>
        <w:gridCol w:w="7920"/>
      </w:tblGrid>
      <w:tr>
        <w:tc>
          <w:tcPr/>
          <w:p>
            <w:pPr>
              <w:pStyle w:val="Compact"/>
              <w:jc w:val="left"/>
            </w:pPr>
            <w:r>
              <w:t xml:space="preserve">The chairperson may request additional individual(s) to participate as members in appropriate circumstances to provide expert technical review.</w:t>
            </w:r>
          </w:p>
        </w:tc>
      </w:tr>
    </w:tbl>
    <w:p>
      <w:pPr>
        <w:pStyle w:val="Compact"/>
        <w:numPr>
          <w:ilvl w:val="1"/>
          <w:numId w:val="1114"/>
        </w:numPr>
      </w:pPr>
      <w:r>
        <w:t xml:space="preserve">(2) The Planning Board shall adopt written procedures establishing the Committee's responsibilities.</w:t>
      </w:r>
    </w:p>
    <w:p>
      <w:pPr>
        <w:pStyle w:val="Compact"/>
        <w:numPr>
          <w:ilvl w:val="1"/>
          <w:numId w:val="1114"/>
        </w:numPr>
      </w:pPr>
      <w:r>
        <w:t xml:space="preserve">(3) The TRC has the authority to issue approvals, make finding and provide recommendations as provided in these regulations.</w:t>
      </w:r>
    </w:p>
    <w:p>
      <w:pPr>
        <w:pStyle w:val="Compact"/>
        <w:numPr>
          <w:ilvl w:val="1"/>
          <w:numId w:val="1114"/>
        </w:numPr>
      </w:pPr>
      <w:r>
        <w:t xml:space="preserve">(4) Reports of the Technical Review Committee to the Planning Board shall be in writing and kept as part of the permanent documentation on the development application. In no case shall the recommendation of the Technical Review Committee be binding on the Planning Board in its activities or decision. All reports of the Technical Review Committee shall be made available to the applicant prior to the meeting of the Planning Board at which the reports are first considered.</w:t>
      </w:r>
    </w:p>
    <w:bookmarkEnd w:id="108"/>
    <w:bookmarkStart w:id="109" w:name="reserved-6"/>
    <w:p>
      <w:pPr>
        <w:pStyle w:val="Heading2"/>
      </w:pPr>
      <w:r>
        <w:t xml:space="preserve">§ 12-3. (Reserved)</w:t>
      </w:r>
    </w:p>
    <w:p>
      <w:pPr>
        <w:pStyle w:val="FirstParagraph"/>
      </w:pPr>
      <w:r>
        <w:rPr>
          <w:i/>
          <w:iCs/>
        </w:rPr>
        <w:t xml:space="preserve">Editor's Note: Former § 12-3, Applicability, adopted by Ord. No. 08-31, 10-7-2009, was repealed 12-6-2023 by Ord. No. 23-26.</w:t>
      </w:r>
    </w:p>
    <w:bookmarkEnd w:id="109"/>
    <w:bookmarkStart w:id="110" w:name="reserved-7"/>
    <w:p>
      <w:pPr>
        <w:pStyle w:val="Heading2"/>
      </w:pPr>
      <w:r>
        <w:t xml:space="preserve">§ 12-4. (Reserved)</w:t>
      </w:r>
    </w:p>
    <w:p>
      <w:pPr>
        <w:pStyle w:val="FirstParagraph"/>
      </w:pPr>
      <w:r>
        <w:rPr>
          <w:i/>
          <w:iCs/>
        </w:rPr>
        <w:t xml:space="preserve">Editor's Note: Former § 12-4, Exemptions, adopted by Ord. No. 08-31, 10-7-2009, was repealed 12-6-2023 by Ord. No. 23-26.</w:t>
      </w:r>
    </w:p>
    <w:bookmarkEnd w:id="110"/>
    <w:bookmarkStart w:id="111" w:name="reserved-8"/>
    <w:p>
      <w:pPr>
        <w:pStyle w:val="Heading2"/>
      </w:pPr>
      <w:r>
        <w:t xml:space="preserve">§ 12-5. (Reserved)</w:t>
      </w:r>
    </w:p>
    <w:p>
      <w:pPr>
        <w:pStyle w:val="FirstParagraph"/>
      </w:pPr>
      <w:r>
        <w:rPr>
          <w:i/>
          <w:iCs/>
        </w:rPr>
        <w:t xml:space="preserve">Editor's Note: Former § 12-5, Application and review process, adopted by Ord. No. 08-31, 10-7-2009, was repealed 12-6-2023 by Ord. No. 23-26.</w:t>
      </w:r>
    </w:p>
    <w:bookmarkEnd w:id="111"/>
    <w:bookmarkStart w:id="112" w:name="reserved-9"/>
    <w:p>
      <w:pPr>
        <w:pStyle w:val="Heading2"/>
      </w:pPr>
      <w:r>
        <w:t xml:space="preserve">§ 12-6. (Reserved)</w:t>
      </w:r>
    </w:p>
    <w:p>
      <w:pPr>
        <w:pStyle w:val="FirstParagraph"/>
      </w:pPr>
      <w:r>
        <w:rPr>
          <w:i/>
          <w:iCs/>
        </w:rPr>
        <w:t xml:space="preserve">Editor's Note: Former § 12-6, Contents of applications, adopted by Ord. No. 08-31, 10-7-2009, was repealed 12-6-2023 by Ord. No. 23-26.</w:t>
      </w:r>
    </w:p>
    <w:bookmarkEnd w:id="112"/>
    <w:bookmarkStart w:id="113" w:name="reserved-10"/>
    <w:p>
      <w:pPr>
        <w:pStyle w:val="Heading2"/>
      </w:pPr>
      <w:r>
        <w:t xml:space="preserve">§ 12-7. (Reserved)</w:t>
      </w:r>
    </w:p>
    <w:p>
      <w:pPr>
        <w:pStyle w:val="FirstParagraph"/>
      </w:pPr>
      <w:r>
        <w:rPr>
          <w:i/>
          <w:iCs/>
        </w:rPr>
        <w:t xml:space="preserve">Editor's Note: Former § 12-7, Site and design standards, adopted by Ord. No. 08-31, 10-7-2009, was repealed 12-6-2023 by Ord. No. 23-26.</w:t>
      </w:r>
    </w:p>
    <w:bookmarkEnd w:id="113"/>
    <w:bookmarkStart w:id="114" w:name="reserved-11"/>
    <w:p>
      <w:pPr>
        <w:pStyle w:val="Heading2"/>
      </w:pPr>
      <w:r>
        <w:t xml:space="preserve">§ 12-8. (Reserved)</w:t>
      </w:r>
    </w:p>
    <w:p>
      <w:pPr>
        <w:pStyle w:val="FirstParagraph"/>
      </w:pPr>
      <w:r>
        <w:rPr>
          <w:i/>
          <w:iCs/>
        </w:rPr>
        <w:t xml:space="preserve">Editor's Note: Former § 12-8, Required findings and improvements, adopted by Ord. No. 08-31, 10-7-2009, was repealed 12-6-2023 by Ord. No. 23-26.</w:t>
      </w:r>
    </w:p>
    <w:bookmarkEnd w:id="114"/>
    <w:bookmarkStart w:id="115" w:name="fees"/>
    <w:p>
      <w:pPr>
        <w:pStyle w:val="Heading2"/>
      </w:pPr>
      <w:r>
        <w:t xml:space="preserve">§ 12-9. Fees</w:t>
      </w:r>
    </w:p>
    <w:p>
      <w:pPr>
        <w:pStyle w:val="FirstParagraph"/>
      </w:pPr>
      <w:r>
        <w:rPr>
          <w:i/>
          <w:iCs/>
        </w:rPr>
        <w:t xml:space="preserve">[Ord. No. 08-31, 10-7-2009]</w:t>
      </w:r>
    </w:p>
    <w:p>
      <w:pPr>
        <w:pStyle w:val="BodyText"/>
      </w:pPr>
      <w:r>
        <w:t xml:space="preserve">The applicant shall pay all application fees as specified in Appendix A of the regulations, as well as any costs incurred by the Planning Board associated with the use of outside professional assistance in the review of the proposed development. Such assistance may include, but not be limited to, the review of overall building and site design, site engineering including drainage and traffic impacts, environmental assessment, evaluation of landscaping and site amenities, and architectural review. The need for such review shall be at the discretion of the Planning Board. Fees obtained from the applicant shall not exceed actual costs.</w:t>
      </w:r>
    </w:p>
    <w:bookmarkEnd w:id="115"/>
    <w:bookmarkStart w:id="116" w:name="enforcement"/>
    <w:p>
      <w:pPr>
        <w:pStyle w:val="Heading2"/>
      </w:pPr>
      <w:r>
        <w:t xml:space="preserve">§ 12-10. Enforcement</w:t>
      </w:r>
    </w:p>
    <w:p>
      <w:pPr>
        <w:pStyle w:val="FirstParagraph"/>
      </w:pPr>
      <w:r>
        <w:rPr>
          <w:i/>
          <w:iCs/>
        </w:rPr>
        <w:t xml:space="preserve">[Ord. No. 08-31, 10-7-2009]</w:t>
      </w:r>
    </w:p>
    <w:p>
      <w:pPr>
        <w:pStyle w:val="BodyText"/>
      </w:pPr>
      <w:r>
        <w:t xml:space="preserve">The provisions of this article shall be enforced by the zoning enforcement officer. This appendix shall become effective immediately upon its passage by the Cumberland Town Council and any ordinances inconsistent herewith are hereby repealed.</w:t>
      </w:r>
    </w:p>
    <w:bookmarkEnd w:id="116"/>
    <w:bookmarkStart w:id="117" w:name="signs-1"/>
    <w:p>
      <w:pPr>
        <w:pStyle w:val="Heading1"/>
      </w:pPr>
      <w:r>
        <w:t xml:space="preserve">§ 13. Signs</w:t>
      </w:r>
    </w:p>
    <w:bookmarkEnd w:id="117"/>
    <w:bookmarkStart w:id="118" w:name="purposes-1"/>
    <w:p>
      <w:pPr>
        <w:pStyle w:val="Heading2"/>
      </w:pPr>
      <w:r>
        <w:t xml:space="preserve">§ 13-1. Purposes</w:t>
      </w:r>
    </w:p>
    <w:p>
      <w:pPr>
        <w:pStyle w:val="FirstParagraph"/>
      </w:pPr>
      <w:r>
        <w:rPr>
          <w:i/>
          <w:iCs/>
        </w:rPr>
        <w:t xml:space="preserve">[Ord. No. 13-23-A, § 2, 2-19-2014]</w:t>
      </w:r>
    </w:p>
    <w:p>
      <w:pPr>
        <w:pStyle w:val="BodyText"/>
      </w:pPr>
      <w:r>
        <w:t xml:space="preserve">The purpose of this article is to recognize the function of signs in the Town, to provide for their inclusion under the zoning ordinance, and this article shall serve to regulate and control all matters relating to such signs, including location, size and purpose. Signs are accessory uses and are permitted only in conjunction with permitted uses. Such signs are intended to advertise goods, services, facilities, events or attractions available on the premises where located, to identify the owner or occupant or to direct traffic on the premises. It is the further purpose of this article to:</w:t>
      </w:r>
    </w:p>
    <w:p>
      <w:pPr>
        <w:pStyle w:val="Compact"/>
        <w:numPr>
          <w:ilvl w:val="0"/>
          <w:numId w:val="1116"/>
        </w:numPr>
      </w:pPr>
      <w:r>
        <w:t xml:space="preserve">(a) Preserve locally recognized values of community appearance;</w:t>
      </w:r>
    </w:p>
    <w:p>
      <w:pPr>
        <w:pStyle w:val="Compact"/>
        <w:numPr>
          <w:ilvl w:val="0"/>
          <w:numId w:val="1116"/>
        </w:numPr>
      </w:pPr>
      <w:r>
        <w:t xml:space="preserve">(b) Safeguard and enhance property values in residential, commercial and industrial areas;</w:t>
      </w:r>
    </w:p>
    <w:p>
      <w:pPr>
        <w:pStyle w:val="Compact"/>
        <w:numPr>
          <w:ilvl w:val="0"/>
          <w:numId w:val="1116"/>
        </w:numPr>
      </w:pPr>
      <w:r>
        <w:t xml:space="preserve">(c) Protect public investment in and the existing character of public thoroughfares;</w:t>
      </w:r>
    </w:p>
    <w:p>
      <w:pPr>
        <w:pStyle w:val="Compact"/>
        <w:numPr>
          <w:ilvl w:val="0"/>
          <w:numId w:val="1116"/>
        </w:numPr>
      </w:pPr>
      <w:r>
        <w:t xml:space="preserve">(d) Reduce hazards to motorists and pedestrians traveling on the public way, and thereby to promote the public health, safety and welfare;</w:t>
      </w:r>
    </w:p>
    <w:p>
      <w:pPr>
        <w:pStyle w:val="Compact"/>
        <w:numPr>
          <w:ilvl w:val="0"/>
          <w:numId w:val="1116"/>
        </w:numPr>
      </w:pPr>
      <w:r>
        <w:t xml:space="preserve">(e) Promote a good business climate; and</w:t>
      </w:r>
    </w:p>
    <w:p>
      <w:pPr>
        <w:pStyle w:val="Compact"/>
        <w:numPr>
          <w:ilvl w:val="0"/>
          <w:numId w:val="1116"/>
        </w:numPr>
      </w:pPr>
      <w:r>
        <w:t xml:space="preserve">(f) Enhance all property values, be they business or residential properties.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These purposes will be accomplished by regulation of the construction, display and maintenance of signs. The use of signs is regulated according to zoning district. The placement and physical dimensions of signs are regulated primarily by type and length of building frontage.</w:t>
            </w:r>
          </w:p>
        </w:tc>
      </w:tr>
    </w:tbl>
    <w:bookmarkEnd w:id="118"/>
    <w:bookmarkStart w:id="119" w:name="conformance"/>
    <w:p>
      <w:pPr>
        <w:pStyle w:val="Heading2"/>
      </w:pPr>
      <w:r>
        <w:t xml:space="preserve">§ 13-2. Conformance</w:t>
      </w:r>
    </w:p>
    <w:p>
      <w:pPr>
        <w:pStyle w:val="FirstParagraph"/>
      </w:pPr>
      <w:r>
        <w:rPr>
          <w:i/>
          <w:iCs/>
        </w:rPr>
        <w:t xml:space="preserve">[Ord. No. 13-23-A, § 2, 2-19-2014]</w:t>
      </w:r>
    </w:p>
    <w:p>
      <w:pPr>
        <w:pStyle w:val="BodyText"/>
      </w:pPr>
      <w:r>
        <w:t xml:space="preserve">No sign will be permitted as a main or accessory use except in accordance with these provisions of this article.</w:t>
      </w:r>
    </w:p>
    <w:bookmarkEnd w:id="119"/>
    <w:bookmarkStart w:id="120" w:name="general-sign-standards"/>
    <w:p>
      <w:pPr>
        <w:pStyle w:val="Heading2"/>
      </w:pPr>
      <w:r>
        <w:t xml:space="preserve">§ 13-3. General sign standards</w:t>
      </w:r>
    </w:p>
    <w:p>
      <w:pPr>
        <w:pStyle w:val="FirstParagraph"/>
      </w:pPr>
      <w:r>
        <w:rPr>
          <w:i/>
          <w:iCs/>
        </w:rPr>
        <w:t xml:space="preserve">[Ord. No. 13-23-A, § 2, 2-19-2014]</w:t>
      </w:r>
    </w:p>
    <w:p>
      <w:pPr>
        <w:pStyle w:val="BodyText"/>
      </w:pPr>
      <w:r>
        <w:t xml:space="preserve">To achieve the purposes of this article, the following general sign standards shall be applied to signs in the Town of Cumberland:</w:t>
      </w:r>
    </w:p>
    <w:p>
      <w:pPr>
        <w:pStyle w:val="Compact"/>
        <w:numPr>
          <w:ilvl w:val="0"/>
          <w:numId w:val="1117"/>
        </w:numPr>
      </w:pPr>
      <w:r>
        <w:t xml:space="preserve">(a) Context. A sign shall have good scale and proportion in its design, and be compatible with the surrounding built environment and streetscape. Every sign shall be designed as an integral architectural element of the building and the site to which it principally relates.</w:t>
      </w:r>
    </w:p>
    <w:p>
      <w:pPr>
        <w:pStyle w:val="Compact"/>
        <w:numPr>
          <w:ilvl w:val="0"/>
          <w:numId w:val="1117"/>
        </w:numPr>
      </w:pPr>
      <w:r>
        <w:t xml:space="preserve">(b) Design. Each sign's message shall be designed with easily recognized symbols and lettering, with the number of graphic elements held to a minimum. Colors and lighting of every sign shall be restrained and harmonious with the area in which it is located.</w:t>
      </w:r>
    </w:p>
    <w:p>
      <w:pPr>
        <w:pStyle w:val="Compact"/>
        <w:numPr>
          <w:ilvl w:val="0"/>
          <w:numId w:val="1117"/>
        </w:numPr>
      </w:pPr>
      <w:r>
        <w:t xml:space="preserve">(c) Materials. Sign materials shall be consistent with or complement the construction material and architectural style of the building.</w:t>
      </w:r>
    </w:p>
    <w:p>
      <w:pPr>
        <w:pStyle w:val="Compact"/>
        <w:numPr>
          <w:ilvl w:val="0"/>
          <w:numId w:val="1117"/>
        </w:numPr>
      </w:pPr>
      <w:r>
        <w:t xml:space="preserve">(d) Common signage. Signs on adjacent storefronts should be coordinated in height and proportion. Signs on a building that contains more than one business, or on a building in a multi-building commercial center under one ownership, shall be designed so as to be consistent and harmonious in size, design, materials and color, including on a building that contains more than one business, or in multi-building commercial centers under one ownership.</w:t>
      </w:r>
    </w:p>
    <w:p>
      <w:pPr>
        <w:pStyle w:val="Compact"/>
        <w:numPr>
          <w:ilvl w:val="0"/>
          <w:numId w:val="1117"/>
        </w:numPr>
      </w:pPr>
      <w:r>
        <w:t xml:space="preserve">(e) Sign permit required. Prior to the installation, relocation or alteration of any sign, a permit shall be obtained from the Building Official and for all signs shall be limited in area by the provisions below not included in the calculation of maximum sign area provided in §§ 13-4, 13-6 and 13-7.</w:t>
      </w:r>
    </w:p>
    <w:bookmarkEnd w:id="120"/>
    <w:bookmarkStart w:id="121" w:name="signs-permitted-in-all-zoning-districts"/>
    <w:p>
      <w:pPr>
        <w:pStyle w:val="Heading2"/>
      </w:pPr>
      <w:r>
        <w:t xml:space="preserve">§ 13-4. Signs permitted in all zoning districts</w:t>
      </w:r>
    </w:p>
    <w:p>
      <w:pPr>
        <w:pStyle w:val="FirstParagraph"/>
      </w:pPr>
      <w:r>
        <w:rPr>
          <w:i/>
          <w:iCs/>
        </w:rPr>
        <w:t xml:space="preserve">[Ord. No. 13-23-A, § 2, 2-19-2014]</w:t>
      </w:r>
    </w:p>
    <w:p>
      <w:pPr>
        <w:pStyle w:val="BodyText"/>
      </w:pPr>
      <w:r>
        <w:t xml:space="preserve">The following signs are permitted in all zoning districts in the Town:</w:t>
      </w:r>
    </w:p>
    <w:p>
      <w:pPr>
        <w:pStyle w:val="Compact"/>
        <w:numPr>
          <w:ilvl w:val="0"/>
          <w:numId w:val="1118"/>
        </w:numPr>
      </w:pPr>
      <w:r>
        <w:t xml:space="preserve">(a) On-premises commercial signs. Signs identifying the development name, business name and/or any on-premises sales, where the sign structure is constructed of permanent materials, and where on-premises sales copy may change from time to time as permitted by this article.</w:t>
      </w:r>
    </w:p>
    <w:p>
      <w:pPr>
        <w:pStyle w:val="Compact"/>
        <w:numPr>
          <w:ilvl w:val="0"/>
          <w:numId w:val="1118"/>
        </w:numPr>
      </w:pPr>
      <w:r>
        <w:t xml:space="preserve">(b) Government signs. Signs of every kind and nature installed by or on behalf of any federal, state or local government agency, including official traffic control or informational signs, hazard warning signs, legal notices, railroad crossing signs or other similar signs required by law:</w:t>
      </w:r>
    </w:p>
    <w:p>
      <w:pPr>
        <w:pStyle w:val="Compact"/>
        <w:numPr>
          <w:ilvl w:val="0"/>
          <w:numId w:val="1118"/>
        </w:numPr>
      </w:pPr>
      <w:r>
        <w:t xml:space="preserve">(c) Nameplates. One nameplate for each dwelling unit, not internally illuminated, and not exceeding 1 1/2 square feet in area, indicating the name of the occupant or any permitted use of the premises.</w:t>
      </w:r>
    </w:p>
    <w:p>
      <w:pPr>
        <w:pStyle w:val="Compact"/>
        <w:numPr>
          <w:ilvl w:val="0"/>
          <w:numId w:val="1118"/>
        </w:numPr>
      </w:pPr>
      <w:r>
        <w:t xml:space="preserve">(d) Building identification signs. Wall signs, which may not be internally illuminated, and which are permanently affixed to buildings for the purpose of identifying the name of building, date of construction or other historical information, provided that such signs are composed of similar materials as the building, or bronze or brass, and are affixed flat against the building.</w:t>
      </w:r>
    </w:p>
    <w:p>
      <w:pPr>
        <w:pStyle w:val="Compact"/>
        <w:numPr>
          <w:ilvl w:val="0"/>
          <w:numId w:val="1118"/>
        </w:numPr>
      </w:pPr>
      <w:r>
        <w:t xml:space="preserve">(e) Hours of operation. A list of hours by days of the week limited to one square foot.</w:t>
      </w:r>
    </w:p>
    <w:p>
      <w:pPr>
        <w:pStyle w:val="Compact"/>
        <w:numPr>
          <w:ilvl w:val="0"/>
          <w:numId w:val="1118"/>
        </w:numPr>
      </w:pPr>
      <w:r>
        <w:t xml:space="preserve">(f) Credit card signs. Credit card signs, non-illuminated, limited to a total area of one square foot per business entrance.</w:t>
      </w:r>
    </w:p>
    <w:p>
      <w:pPr>
        <w:pStyle w:val="Compact"/>
        <w:numPr>
          <w:ilvl w:val="0"/>
          <w:numId w:val="1118"/>
        </w:numPr>
      </w:pPr>
      <w:r>
        <w:t xml:space="preserve">(g) Bulletin boards. Signs used as a bulletin or notice board to announce activities and events for institutional and governmental services only. Such signs shall be located upon the premises of said institutions and shall not exceed 10 square feet in area, nor be closer than four feet from the property line, except in all agricultural and residence districts, where such signs shall be set back a minimum of 10 feet from any property line abutting a residential use.</w:t>
      </w:r>
    </w:p>
    <w:p>
      <w:pPr>
        <w:pStyle w:val="Compact"/>
        <w:numPr>
          <w:ilvl w:val="0"/>
          <w:numId w:val="1118"/>
        </w:numPr>
      </w:pPr>
      <w:r>
        <w:t xml:space="preserve">(h) Farm retail signs. One non-illuminated sign, freestanding or affixed to any farm retail sales building and/or farm stand, according to the provisions of Article 7. One such sign is permitted per farm and shall not exceed 12 square feet in area (see § 7-7).</w:t>
      </w:r>
    </w:p>
    <w:p>
      <w:pPr>
        <w:numPr>
          <w:ilvl w:val="0"/>
          <w:numId w:val="1118"/>
        </w:numPr>
      </w:pPr>
      <w:r>
        <w:t xml:space="preserve">(i) Temporary signs. A sign that: (a) is used in connection with a circumstance, situation, or event that is designed, intended or expected to take place or to be completed within a reasonably short or definite period after the installation of such sign; or (b) is intended to remain on the location where it is installed or placed for a period of not more than 15 days. If a sign display area is permanent but the message displayed is subject to periodic changes, that sign shall not be regarded as temporary. Advertisements of sales for commercial establishments are not to be considered temporary. No sign may be attached to trees within any public right-of-way or any public property, traffic signs or utility poles. Temporary signs shall not require a permit.</w:t>
      </w:r>
    </w:p>
    <w:p>
      <w:pPr>
        <w:numPr>
          <w:ilvl w:val="0"/>
          <w:numId w:val="1000"/>
        </w:numPr>
      </w:pPr>
      <w:r>
        <w:t xml:space="preserve">The following temporary signs, whether fixed or portable, are permitted in all zoning districts:</w:t>
      </w:r>
    </w:p>
    <w:p>
      <w:pPr>
        <w:pStyle w:val="Compact"/>
        <w:numPr>
          <w:ilvl w:val="1"/>
          <w:numId w:val="1119"/>
        </w:numPr>
      </w:pPr>
      <w:r>
        <w:t xml:space="preserve">(1) Event signs, which shall not be internally illuminated, for events by nonprofit or charitable organizations, including exterior messages for national and state holidays; provided, however, that no such temporary sign may be installed for a period of more than 15 consecutive days, nor more than 12 days prior to the event and no more than three days after the event, with a total of 30 cumulative days throughout the year. Such signs shall be limited to 12 square feet in area and set back a minimum of eight feet from the street line, in all districts, unless a greater minimum is required by the zoning official to protect the safety of pedestrians and/or drivers. Signs may be located on another's property with permission of the owner.</w:t>
      </w:r>
    </w:p>
    <w:p>
      <w:pPr>
        <w:pStyle w:val="Compact"/>
        <w:numPr>
          <w:ilvl w:val="1"/>
          <w:numId w:val="1119"/>
        </w:numPr>
      </w:pPr>
      <w:r>
        <w:t xml:space="preserve">(2) Rental or sale signs, freestanding or attached to the premises, pertaining to the prospective rental or sale of the property on which they are located; provided that such signs shall not be illuminated, nor extend over the sidewalk, and further provided that:</w:t>
      </w:r>
    </w:p>
    <w:p>
      <w:pPr>
        <w:pStyle w:val="Compact"/>
        <w:numPr>
          <w:ilvl w:val="2"/>
          <w:numId w:val="1120"/>
        </w:numPr>
      </w:pPr>
      <w:r>
        <w:t xml:space="preserve">a. Within all agricultural and residential districts; such signs shall not exceed a total area of six square feet and shall be removed within 14 days of the real estate closing or lease transaction.</w:t>
      </w:r>
    </w:p>
    <w:p>
      <w:pPr>
        <w:pStyle w:val="Compact"/>
        <w:numPr>
          <w:ilvl w:val="2"/>
          <w:numId w:val="1120"/>
        </w:numPr>
      </w:pPr>
      <w:r>
        <w:t xml:space="preserve">b. Within all commercial districts, such signs shall not exceed a total area of 12 square feet, and shall be removed within 30 days of the real estate closing or lease transaction.</w:t>
      </w:r>
    </w:p>
    <w:p>
      <w:pPr>
        <w:pStyle w:val="Compact"/>
        <w:numPr>
          <w:ilvl w:val="2"/>
          <w:numId w:val="1120"/>
        </w:numPr>
      </w:pPr>
      <w:r>
        <w:t xml:space="preserve">c. Within all industrial districts, such signs shall not exceed a total area of 32 square feet, and shall be removed within 30 days of the real estate closing or lease transaction.</w:t>
      </w:r>
    </w:p>
    <w:p>
      <w:pPr>
        <w:pStyle w:val="Compact"/>
        <w:numPr>
          <w:ilvl w:val="1"/>
          <w:numId w:val="1119"/>
        </w:numPr>
      </w:pPr>
      <w:r>
        <w:t xml:space="preserve">(3) Construction signs and "grand opening" signs, non-illuminated, customary and necessary in connection with the construction of buildings or other construction work or signs for business where road construction obscures the existing sign or signs for such business, limited to one sign per street frontage for each construction project. Such sign may be freestanding or attached to the premises, but shall not exceed 32 square feet in area, and shall be removed within 30 days of the completion of construction or the opening of the business. In all agricultural and residential districts, such signs shall not exceed 12 square feet in area, and shall be set back a minimum of 10 feet from any property line.</w:t>
      </w:r>
    </w:p>
    <w:p>
      <w:pPr>
        <w:pStyle w:val="Compact"/>
        <w:numPr>
          <w:ilvl w:val="1"/>
          <w:numId w:val="1119"/>
        </w:numPr>
      </w:pPr>
      <w:r>
        <w:t xml:space="preserve">(4) Political signs, non-illuminated, incidental to a Town, state, or federal election or referendum, or signs, which are political in nature. Such signs shall be constructed of durable material. Such signs shall be installed not more than 90 days prior to such election or referendum, and in any event, no premises shall have a sign installed for more than 120 days in any calendar year. Political signs relating to any election or referendum shall be removed within seven days after said election or referendum.</w:t>
      </w:r>
    </w:p>
    <w:p>
      <w:pPr>
        <w:pStyle w:val="Compact"/>
        <w:numPr>
          <w:ilvl w:val="1"/>
          <w:numId w:val="1119"/>
        </w:numPr>
      </w:pPr>
      <w:r>
        <w:t xml:space="preserve">(5) Replacement sign, which may not be internally illuminated, solely for the purpose of identification when a property owner's sign has been damaged or destroyed by circumstances beyond the owner's control, provided however, that no such temporary sign may be installed for a period of more than 60 consecutive days. Such signs shall be limited to 25 square feet in area and set back a minimum of 10 feet from any property line.</w:t>
      </w:r>
    </w:p>
    <w:p>
      <w:pPr>
        <w:pStyle w:val="Compact"/>
        <w:numPr>
          <w:ilvl w:val="1"/>
          <w:numId w:val="1119"/>
        </w:numPr>
      </w:pPr>
      <w:r>
        <w:t xml:space="preserve">(6) Yard sale signs, advertising a yard, garage, tag sale or the like, which may not be internally illuminated, and which may be installed on another's property with the permission of the owner, and does not exceed six square feet, and which may be installed no longer than one day prior to the yard sale and removed not more than one day after the yard sale.</w:t>
      </w:r>
    </w:p>
    <w:bookmarkEnd w:id="121"/>
    <w:bookmarkStart w:id="122" w:name="signs-prohibited-in-all-zoning-districts"/>
    <w:p>
      <w:pPr>
        <w:pStyle w:val="Heading2"/>
      </w:pPr>
      <w:r>
        <w:t xml:space="preserve">§ 13-5. Signs prohibited in all zoning districts</w:t>
      </w:r>
    </w:p>
    <w:p>
      <w:pPr>
        <w:pStyle w:val="FirstParagraph"/>
      </w:pPr>
      <w:r>
        <w:rPr>
          <w:i/>
          <w:iCs/>
        </w:rPr>
        <w:t xml:space="preserve">[Ord. No. 13-23-A, § 2, 2-19-2014]</w:t>
      </w:r>
    </w:p>
    <w:p>
      <w:pPr>
        <w:pStyle w:val="BodyText"/>
      </w:pPr>
      <w:r>
        <w:t xml:space="preserve">The following signs shall be prohibited in all zoning districts in the Town:</w:t>
      </w:r>
    </w:p>
    <w:p>
      <w:pPr>
        <w:pStyle w:val="Compact"/>
        <w:numPr>
          <w:ilvl w:val="0"/>
          <w:numId w:val="1121"/>
        </w:numPr>
      </w:pPr>
      <w:r>
        <w:t xml:space="preserve">(a) Traffic or safety hazards. Signs determined by the Chief of Police to constitute a traffic or other safety hazard by reason of size, location, or type of illumination.</w:t>
      </w:r>
    </w:p>
    <w:p>
      <w:pPr>
        <w:pStyle w:val="Compact"/>
        <w:numPr>
          <w:ilvl w:val="0"/>
          <w:numId w:val="1121"/>
        </w:numPr>
      </w:pPr>
      <w:r>
        <w:t xml:space="preserve">(b) Animated and moving signs. A sign which contains an intermittent or sequential flashing light source (other than that described as a static electronic message sign herein), used primarily to attract attention, or a sign depicting action, motion, light or color changes through electrical or mechanical means, which may include video, text, graphics and artistic display. A sign that moves, including commercial message flags, whirligigs, inflatable signs, spinning signs, and banner flags.</w:t>
      </w:r>
    </w:p>
    <w:p>
      <w:pPr>
        <w:pStyle w:val="Compact"/>
        <w:numPr>
          <w:ilvl w:val="0"/>
          <w:numId w:val="1121"/>
        </w:numPr>
      </w:pPr>
      <w:r>
        <w:t xml:space="preserve">(c) Billboards and off-premises signs. Freestanding and roof-mounted billboards, or any sign advertising or promoting products or services not on the premises displaying the sign. A sign advertising products, services, facilities, events or attractions not made, sold, used, served or available on the premises displaying such sign. A sign that draws attention to or communicates information about a business, service, commodity, accommodation, attraction or other activity that is conducted, sold, or offered at a location other than the premises on which the sign is located.</w:t>
      </w:r>
    </w:p>
    <w:p>
      <w:pPr>
        <w:pStyle w:val="Compact"/>
        <w:numPr>
          <w:ilvl w:val="0"/>
          <w:numId w:val="1121"/>
        </w:numPr>
      </w:pPr>
      <w:r>
        <w:t xml:space="preserve">(d) Roof signs. A sign that is mounted upon, or projects above, the roof, parapet or ridgeline of a building.</w:t>
      </w:r>
    </w:p>
    <w:p>
      <w:pPr>
        <w:pStyle w:val="Compact"/>
        <w:numPr>
          <w:ilvl w:val="0"/>
          <w:numId w:val="1121"/>
        </w:numPr>
      </w:pPr>
      <w:r>
        <w:t xml:space="preserve">(e) Signs on utility poles, trees or fences. Signs or messages placed on utility poles owned by any governmental agency or utility company other than those specifically installed by such governmental agency or utility company. Additionally, signs may not be installed on trees or fences.</w:t>
      </w:r>
    </w:p>
    <w:p>
      <w:pPr>
        <w:pStyle w:val="Compact"/>
        <w:numPr>
          <w:ilvl w:val="0"/>
          <w:numId w:val="1121"/>
        </w:numPr>
      </w:pPr>
      <w:r>
        <w:t xml:space="preserve">(f) Abandoned signs. An unused sign, or a sign advertising an activity or product no longer conducted or produced on the premises upon which the sign is located, for a period of 90 days or more.</w:t>
      </w:r>
    </w:p>
    <w:bookmarkEnd w:id="122"/>
    <w:bookmarkStart w:id="123" w:name="sign-types-and-placement"/>
    <w:p>
      <w:pPr>
        <w:pStyle w:val="Heading2"/>
      </w:pPr>
      <w:r>
        <w:t xml:space="preserve">§ 13-6. Sign types and placement</w:t>
      </w:r>
    </w:p>
    <w:p>
      <w:pPr>
        <w:pStyle w:val="FirstParagraph"/>
      </w:pPr>
      <w:r>
        <w:rPr>
          <w:i/>
          <w:iCs/>
        </w:rPr>
        <w:t xml:space="preserve">[Ord. No. 13-23-A, § 2, 2-19-2014]</w:t>
      </w:r>
    </w:p>
    <w:p>
      <w:pPr>
        <w:pStyle w:val="BodyText"/>
      </w:pPr>
      <w:r>
        <w:t xml:space="preserve">The following sign types, if permanently mounted (not portable), are permitted in the Town in accordance with the requirements of this article:</w:t>
      </w:r>
    </w:p>
    <w:p>
      <w:pPr>
        <w:pStyle w:val="Compact"/>
        <w:numPr>
          <w:ilvl w:val="0"/>
          <w:numId w:val="1122"/>
        </w:numPr>
      </w:pPr>
      <w:r>
        <w:t xml:space="preserve">(a) Directional sign. A sign identifying onpremises traffic, parking or other functional activity bearing commercial identification of on-premises establishments. Such signs are permitted in all zoning districts except in agricultural and residence districts, and shall be limited to four square feet in area per sign.</w:t>
      </w:r>
    </w:p>
    <w:p>
      <w:pPr>
        <w:pStyle w:val="Compact"/>
        <w:numPr>
          <w:ilvl w:val="0"/>
          <w:numId w:val="1122"/>
        </w:numPr>
      </w:pPr>
      <w:r>
        <w:t xml:space="preserve">(b) Freestanding sign. A sign that is attached to, constructed on, or supported by some permanent structure (such as a pole, mast, frame, or other structure, but not any kind of antenna) that is not itself an integral part of or attached to a building. Such sign shall not exceed eight feet in height from the ground level to the top of the sign or its supporting structure, whichever is highest, nor be located closer than four feet from any street right-of-way or property line. All installed freestanding signs shall be protected from vehicular circulation and parking areas.</w:t>
      </w:r>
    </w:p>
    <w:p>
      <w:pPr>
        <w:pStyle w:val="Compact"/>
        <w:numPr>
          <w:ilvl w:val="0"/>
          <w:numId w:val="1122"/>
        </w:numPr>
      </w:pPr>
      <w:r>
        <w:t xml:space="preserve">(c) Projecting sign. A sign that is perpendicular to the plane of the building to which it is affixed, or which projects more than 15 inches beyond said exterior wall, in no event shall such sign or part thereof be constructed closer than two feet to the curb line. Such sign shall not project above the cornice line of the building, more than four feet outward from the building facade. The bottom of a projecting sign shall be at least 10 feet above ground level to prevent any hazard to pedestrians. Any projecting sign that projects into the public right-of-way shall be approved by the director of the department of public works.</w:t>
      </w:r>
    </w:p>
    <w:p>
      <w:pPr>
        <w:pStyle w:val="Compact"/>
        <w:numPr>
          <w:ilvl w:val="0"/>
          <w:numId w:val="1122"/>
        </w:numPr>
      </w:pPr>
      <w:r>
        <w:t xml:space="preserve">(d) Awning sign. A sign painted on or attached to a hood, awning or roof-like canopy. A sign consisting of individual letters, words or symbols may be affixed or applied to the surface of an awning. Any awning sign that projects into the public right-of-way shall be approved by the director of the department of public works.</w:t>
      </w:r>
    </w:p>
    <w:p>
      <w:pPr>
        <w:pStyle w:val="Compact"/>
        <w:numPr>
          <w:ilvl w:val="0"/>
          <w:numId w:val="1122"/>
        </w:numPr>
      </w:pPr>
      <w:r>
        <w:t xml:space="preserve">(e) Wall sign. A sign that is affixed or painted on the face of any exterior wall or door of a building, is parallel or approximately parallel to the plane of the building to which it is affixed; and does not project more than 15 inches beyond said exterior wall, nor project more than two feet above the roof, parapet or ridge line of the building, whichever is higher. Such sign shall not extend beyond the wall upon which it is mounted nor project more than eight inches outward from the wall.</w:t>
      </w:r>
    </w:p>
    <w:p>
      <w:pPr>
        <w:pStyle w:val="Compact"/>
        <w:numPr>
          <w:ilvl w:val="0"/>
          <w:numId w:val="1122"/>
        </w:numPr>
      </w:pPr>
      <w:r>
        <w:t xml:space="preserve">(f) Canopy signs. A sign placed on or affixed to an open-air structure which is separate from the principal building and provides cover or protection from the elements, including, but not limited to, gasoline service station canopies.</w:t>
      </w:r>
    </w:p>
    <w:p>
      <w:pPr>
        <w:pStyle w:val="Compact"/>
        <w:numPr>
          <w:ilvl w:val="0"/>
          <w:numId w:val="1122"/>
        </w:numPr>
      </w:pPr>
      <w:r>
        <w:t xml:space="preserve">(g) Window sign. A sign that is attached to the inside or outside surface of any window, or situated within a building, so that the sign is visible from the public right-of-way.</w:t>
      </w:r>
    </w:p>
    <w:p>
      <w:pPr>
        <w:pStyle w:val="Compact"/>
        <w:numPr>
          <w:ilvl w:val="0"/>
          <w:numId w:val="1122"/>
        </w:numPr>
      </w:pPr>
      <w:r>
        <w:t xml:space="preserve">(h) Static electronic message signs. As a part of an on-premises commercial sign that includes an electronic message component, which messages do not change for at least 30 seconds, and which electronic component is not more than half of the total sign area or 24 square feet, whichever is less, and which messages may not contain graphics or images. The message shall not move, or appear to move, at any time. Time and temperature displays need not be limited to change every 30 seconds.</w:t>
      </w:r>
    </w:p>
    <w:bookmarkEnd w:id="123"/>
    <w:bookmarkStart w:id="124" w:name="portable-signs"/>
    <w:p>
      <w:pPr>
        <w:pStyle w:val="Heading2"/>
      </w:pPr>
      <w:r>
        <w:t xml:space="preserve">§ 13-7. Portable signs</w:t>
      </w:r>
    </w:p>
    <w:p>
      <w:pPr>
        <w:pStyle w:val="FirstParagraph"/>
      </w:pPr>
      <w:r>
        <w:rPr>
          <w:i/>
          <w:iCs/>
        </w:rPr>
        <w:t xml:space="preserve">[Ord. No. 13-23-A, § 2, 2-19-2014]</w:t>
      </w:r>
    </w:p>
    <w:p>
      <w:pPr>
        <w:pStyle w:val="Compact"/>
        <w:numPr>
          <w:ilvl w:val="0"/>
          <w:numId w:val="1123"/>
        </w:numPr>
      </w:pPr>
      <w:r>
        <w:t xml:space="preserve">(a) Defined. A portable sign is any sign or advertising device that rests on the ground and is not designed to be permanently attached to a building or permanently anchored to the ground. This includes A-frame or sandwich board signs, but does not include temporary signs prohibited in subsection 13-5(b).</w:t>
      </w:r>
    </w:p>
    <w:p>
      <w:pPr>
        <w:pStyle w:val="Compact"/>
        <w:numPr>
          <w:ilvl w:val="0"/>
          <w:numId w:val="1123"/>
        </w:numPr>
      </w:pPr>
      <w:r>
        <w:t xml:space="preserve">(b) Permitted use of portable sign. Any business located in a commercial or industrial zoning district is permitted to construct one portable sign within five feet of its business entrance. The business entrance means the point of entry to the business operation and not to the entire development or lot. Every such portable sign must be removed from the outdoors during non-business hours. Portable signs shall not be included in the calculation for permitted total sign area in § 13-8 herein. Portable signs are prohibited any more than five feet from a business entrance.</w:t>
      </w:r>
    </w:p>
    <w:p>
      <w:pPr>
        <w:pStyle w:val="Compact"/>
        <w:numPr>
          <w:ilvl w:val="0"/>
          <w:numId w:val="1123"/>
        </w:numPr>
      </w:pPr>
      <w:r>
        <w:t xml:space="preserve">(c) Portable signs are to be maintained in a neat, orderly fashion so as not to constitute an unsightly appearance or a public nuisance. Signs shall be constructed of durable, weather-resistant materials and be professional in appearance. If such signs are not maintained, the property owner or business owner shall remove them immediately upon notice by the zoning official.</w:t>
      </w:r>
    </w:p>
    <w:p>
      <w:pPr>
        <w:pStyle w:val="Compact"/>
        <w:numPr>
          <w:ilvl w:val="0"/>
          <w:numId w:val="1123"/>
        </w:numPr>
      </w:pPr>
      <w:r>
        <w:t xml:space="preserve">(d) Advertisement of on-site products or services only. Portable signs shall not advertise products or services not available at the location of the sign.</w:t>
      </w:r>
    </w:p>
    <w:p>
      <w:pPr>
        <w:pStyle w:val="Compact"/>
        <w:numPr>
          <w:ilvl w:val="0"/>
          <w:numId w:val="1123"/>
        </w:numPr>
      </w:pPr>
      <w:r>
        <w:t xml:space="preserve">(e) Maximum sign area. Portable signs may have a maximum sign area of 10 square feet.</w:t>
      </w:r>
    </w:p>
    <w:p>
      <w:pPr>
        <w:pStyle w:val="Compact"/>
        <w:numPr>
          <w:ilvl w:val="0"/>
          <w:numId w:val="1123"/>
        </w:numPr>
      </w:pPr>
      <w:r>
        <w:t xml:space="preserve">(f) Maximum sign height and width. The maximum height shall be five feet and the maximum width shall be two feet.</w:t>
      </w:r>
    </w:p>
    <w:p>
      <w:pPr>
        <w:pStyle w:val="Compact"/>
        <w:numPr>
          <w:ilvl w:val="0"/>
          <w:numId w:val="1123"/>
        </w:numPr>
      </w:pPr>
      <w:r>
        <w:t xml:space="preserve">(g) Location and accessibility. Portable signs shall not interfere with pedestrian movement or wheelchair access. A minimum access width of four feet shall be maintained along all sidewalks and building entrances accessible to the public.</w:t>
      </w:r>
    </w:p>
    <w:p>
      <w:pPr>
        <w:pStyle w:val="Compact"/>
        <w:numPr>
          <w:ilvl w:val="0"/>
          <w:numId w:val="1123"/>
        </w:numPr>
      </w:pPr>
      <w:r>
        <w:t xml:space="preserve">(h) Illumination prohibited. Portable signs shall not be illuminated.</w:t>
      </w:r>
    </w:p>
    <w:bookmarkEnd w:id="124"/>
    <w:bookmarkStart w:id="125" w:name="permitted-total-sign-area-and-dimensions"/>
    <w:p>
      <w:pPr>
        <w:pStyle w:val="Heading2"/>
      </w:pPr>
      <w:r>
        <w:t xml:space="preserve">§ 13-8. Permitted total sign area and dimensions</w:t>
      </w:r>
    </w:p>
    <w:p>
      <w:pPr>
        <w:pStyle w:val="FirstParagraph"/>
      </w:pPr>
      <w:r>
        <w:rPr>
          <w:i/>
          <w:iCs/>
        </w:rPr>
        <w:t xml:space="preserve">[Ord. No. 13-23-A, § 2, 2-19-2014]</w:t>
      </w:r>
    </w:p>
    <w:p>
      <w:pPr>
        <w:pStyle w:val="BodyText"/>
      </w:pPr>
      <w:r>
        <w:t xml:space="preserve">All permitted signs shall be measured as follows:</w:t>
      </w:r>
    </w:p>
    <w:p>
      <w:pPr>
        <w:pStyle w:val="Compact"/>
        <w:numPr>
          <w:ilvl w:val="0"/>
          <w:numId w:val="1124"/>
        </w:numPr>
      </w:pPr>
      <w:r>
        <w:t xml:space="preserve">(a) Determination of sign area. The size or area of a sign face shall be measured in square feet, the entire area within a square, rectangle, circle, triangle or any other polygon enclosing the extreme limits of graphic, writing or similar representation, emblem or any fixture of similar character, together with any frame or other material or color forming an integral part of the display or used to differentiate the sign from the background against which it is placed; excluding the necessary supports or uprights on which such sign is placed. Where a sign has two or more faces, the area of all faces shall be included in determining the area of the sign, except that where two such faces are placed back to back and are at no point more than two feet from one another, the area of the sign shall be taken as the area of the one face if the two faces are of equal area, or as the area of the larger face if the two faces are of unequal area.</w:t>
      </w:r>
    </w:p>
    <w:p>
      <w:pPr>
        <w:pStyle w:val="Compact"/>
        <w:numPr>
          <w:ilvl w:val="0"/>
          <w:numId w:val="1124"/>
        </w:numPr>
      </w:pPr>
      <w:r>
        <w:t xml:space="preserve">(b) Height. Measured in feet, the overall height of a sign is measured from the grade directly below the sign to the highest point of the sign or any of its supports.</w:t>
      </w:r>
    </w:p>
    <w:p>
      <w:pPr>
        <w:pStyle w:val="Compact"/>
        <w:numPr>
          <w:ilvl w:val="0"/>
          <w:numId w:val="1124"/>
        </w:numPr>
      </w:pPr>
      <w:r>
        <w:t xml:space="preserve">(c) Setback. Measured in feet from the outermost edge of the sign to the public right-of-way.</w:t>
      </w:r>
    </w:p>
    <w:p>
      <w:pPr>
        <w:pStyle w:val="Compact"/>
        <w:numPr>
          <w:ilvl w:val="0"/>
          <w:numId w:val="1124"/>
        </w:numPr>
      </w:pPr>
      <w:r>
        <w:t xml:space="preserve">(d) Projection over public right-of-way. Measurement in feet, perpendicular to the property line, from the property line to the outermost edge of the sign, over any public right-of-way. Any projection over the public right-of-way shall be reviewed by the director of the department of public works.</w:t>
      </w:r>
    </w:p>
    <w:p>
      <w:pPr>
        <w:pStyle w:val="Compact"/>
        <w:numPr>
          <w:ilvl w:val="0"/>
          <w:numId w:val="1124"/>
        </w:numPr>
      </w:pPr>
      <w:r>
        <w:t xml:space="preserve">(e) Maximum total sign areas. In commercial and industrial zones, the maximum permitted area for signs on a building shall be based on the building frontage. Where a building fronts on two or more streets, the total area for signs shall be based on the longer(est) building frontage.</w:t>
      </w:r>
    </w:p>
    <w:p>
      <w:pPr>
        <w:pStyle w:val="Compact"/>
        <w:numPr>
          <w:ilvl w:val="1"/>
          <w:numId w:val="1125"/>
        </w:numPr>
      </w:pPr>
      <w:r>
        <w:t xml:space="preserve">(1) Agricultural and residential districts. One wall or window sign to identify each permitted home occupation use shall be allowed. Such signs may not be internally illuminated. The total area of all such signs shall not exceed four square feet on any lot.</w:t>
      </w:r>
    </w:p>
    <w:p>
      <w:pPr>
        <w:pStyle w:val="Compact"/>
        <w:numPr>
          <w:ilvl w:val="1"/>
          <w:numId w:val="1125"/>
        </w:numPr>
      </w:pPr>
      <w:r>
        <w:t xml:space="preserve">(2) Commercial and industrial districts. Canopy, awning, freestanding, projecting, and wall signs that identify on-site permitted uses. The maximum total area of all signs on any premises shall not exceed 1 1/2 square feet per one foot of building frontage. Each individual business or activity shall be allowed a projecting or wall-mounted sign meeting the requirements of this article with regard to placement and size, and may be either externally illuminated, except however:</w:t>
      </w:r>
    </w:p>
    <w:p>
      <w:pPr>
        <w:pStyle w:val="Compact"/>
        <w:numPr>
          <w:ilvl w:val="2"/>
          <w:numId w:val="1126"/>
        </w:numPr>
      </w:pPr>
      <w:r>
        <w:t xml:space="preserve">a. An additional wall-mounted sign, no more than 16 square feet in area, is allowed for a second public entrance on the side or rear of the building.</w:t>
      </w:r>
    </w:p>
    <w:p>
      <w:pPr>
        <w:pStyle w:val="Compact"/>
        <w:numPr>
          <w:ilvl w:val="2"/>
          <w:numId w:val="1126"/>
        </w:numPr>
      </w:pPr>
      <w:r>
        <w:t xml:space="preserve">b. Separate freestanding signs shall not be allowed for individual businesses in a multi-tenant building or on a parcel used by more than one business or activity.</w:t>
      </w:r>
    </w:p>
    <w:p>
      <w:pPr>
        <w:pStyle w:val="Compact"/>
        <w:numPr>
          <w:ilvl w:val="2"/>
          <w:numId w:val="1126"/>
        </w:numPr>
      </w:pPr>
      <w:r>
        <w:t xml:space="preserve">c. One freestanding directory sign shall be allowed for a multitenant building or parcel used for more than one business or activity (such as a shopping plaza) in addition to individual business signs (projecting or wall-mounted).</w:t>
      </w:r>
    </w:p>
    <w:p>
      <w:pPr>
        <w:pStyle w:val="Compact"/>
        <w:numPr>
          <w:ilvl w:val="2"/>
          <w:numId w:val="1126"/>
        </w:numPr>
      </w:pPr>
      <w:r>
        <w:t xml:space="preserve">d. In addition to the principal signage, window signs, meeting the requirements of subsection 13-7(f), are allowed.</w:t>
      </w:r>
    </w:p>
    <w:tbl>
      <w:tblPr>
        <w:tblStyle w:val="Table"/>
        <w:tblW w:type="auto" w:w="0"/>
        <w:jc w:val="left"/>
        <w:tblInd w:w="216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Individual businesses in a multitenant building should all have either projecting or wall signs, and shall be of uniform size, shape, and placement on the building. Whenever a new development is proposed which consists of a building with multiple businesses, and/or buildings as part of multi-business commercial center, the applicant shall submit a common signage plan to the Planning Board which provides standards for the design, style and placement of all proposed tenant signage.</w:t>
            </w:r>
          </w:p>
        </w:tc>
      </w:tr>
    </w:tbl>
    <w:p>
      <w:pPr>
        <w:pStyle w:val="Compact"/>
        <w:numPr>
          <w:ilvl w:val="0"/>
          <w:numId w:val="1124"/>
        </w:numPr>
      </w:pPr>
      <w:r>
        <w:t xml:space="preserve">(f) Maximum permitted sign dimensions by sign type.</w:t>
      </w:r>
    </w:p>
    <w:p>
      <w:pPr>
        <w:pStyle w:val="Compact"/>
        <w:numPr>
          <w:ilvl w:val="1"/>
          <w:numId w:val="1127"/>
        </w:numPr>
      </w:pPr>
      <w:r>
        <w:t xml:space="preserve">(1) Freestanding sign: May not be greater than eight feet in height, measure from the ground to the top of the sign or its supporting structure and not located closer than four feet from any street right-of-way or property line.</w:t>
      </w:r>
    </w:p>
    <w:p>
      <w:pPr>
        <w:pStyle w:val="Compact"/>
        <w:numPr>
          <w:ilvl w:val="1"/>
          <w:numId w:val="1127"/>
        </w:numPr>
      </w:pPr>
      <w:r>
        <w:t xml:space="preserve">(2) Directional sign: Four square feet in area per sign; and a maximum of 25 square feet for all directional signs.</w:t>
      </w:r>
    </w:p>
    <w:p>
      <w:pPr>
        <w:pStyle w:val="Compact"/>
        <w:numPr>
          <w:ilvl w:val="1"/>
          <w:numId w:val="1127"/>
        </w:numPr>
      </w:pPr>
      <w:r>
        <w:t xml:space="preserve">(3) Projecting sign: Twenty-four square feet.</w:t>
      </w:r>
    </w:p>
    <w:p>
      <w:pPr>
        <w:pStyle w:val="Compact"/>
        <w:numPr>
          <w:ilvl w:val="1"/>
          <w:numId w:val="1127"/>
        </w:numPr>
      </w:pPr>
      <w:r>
        <w:t xml:space="preserve">(4) Awning or canopy sign: Twenty-four square feet in area, regardless of the length of the awning.</w:t>
      </w:r>
    </w:p>
    <w:p>
      <w:pPr>
        <w:pStyle w:val="Compact"/>
        <w:numPr>
          <w:ilvl w:val="1"/>
          <w:numId w:val="1127"/>
        </w:numPr>
      </w:pPr>
      <w:r>
        <w:t xml:space="preserve">(5) Wall sign. Fifty square feet per building occupied by a single business or activity or 18 square feet for each entrance facade of a single business or activity in a multi-tenant building.</w:t>
      </w:r>
    </w:p>
    <w:p>
      <w:pPr>
        <w:pStyle w:val="Compact"/>
        <w:numPr>
          <w:ilvl w:val="1"/>
          <w:numId w:val="1127"/>
        </w:numPr>
      </w:pPr>
      <w:r>
        <w:t xml:space="preserve">(6) Window signs may not be greater than one-third of each total window area.</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In a new development requiring Planning Board review, a waiver exceeding the foregoing dimensional requirements may be granted by the Planning Board, only if it is demonstrated that the proposed signs will promote the safety of drivers and pedestrians.</w:t>
            </w:r>
          </w:p>
        </w:tc>
      </w:tr>
    </w:tbl>
    <w:bookmarkEnd w:id="125"/>
    <w:bookmarkStart w:id="126" w:name="illumination"/>
    <w:p>
      <w:pPr>
        <w:pStyle w:val="Heading2"/>
      </w:pPr>
      <w:r>
        <w:t xml:space="preserve">§ 13-9. Illumination</w:t>
      </w:r>
    </w:p>
    <w:p>
      <w:pPr>
        <w:pStyle w:val="FirstParagraph"/>
      </w:pPr>
      <w:r>
        <w:rPr>
          <w:i/>
          <w:iCs/>
        </w:rPr>
        <w:t xml:space="preserve">[Ord. No. 13-23-A, § 2, 2-19-2014]</w:t>
      </w:r>
    </w:p>
    <w:p>
      <w:pPr>
        <w:pStyle w:val="Compact"/>
        <w:numPr>
          <w:ilvl w:val="0"/>
          <w:numId w:val="1128"/>
        </w:numPr>
      </w:pPr>
      <w:r>
        <w:t xml:space="preserve">(a) Externally illuminated signs are signs that are illuminated by a light that reflects off the surface of the sign from an external source. External illumination shall only be by a stationary light of white or off-white color. Such light shall be so shaded, shielded or directed, or maintained at a sufficiently low intensity and brightness, that it will not adversely affect neighboring properties, nor the safe vision of operators of motor vehicles on public streets or rights-of-way. Such light shall not reflect or shine on or into residential buildings so as to adversely affect the residents therein. Externally illuminated signs are permitted in all areas of the Town.</w:t>
      </w:r>
    </w:p>
    <w:p>
      <w:pPr>
        <w:pStyle w:val="Compact"/>
        <w:numPr>
          <w:ilvl w:val="0"/>
          <w:numId w:val="1128"/>
        </w:numPr>
      </w:pPr>
      <w:r>
        <w:t xml:space="preserve">(b) Internally illuminated signs are signs that include artificial illumination from a light source located behind the sign face and which transmits light through the sign face or portions of the sign face to the viewer. Exposed neon tubing and similar lighting shall be considered internal illumination. Internally illuminated signs are permitted on Diamond Hill Road, High Street, Mendon Road, Broad Street, and Dexter Street except for on Diamond Hill Road, from Industrial Road and Broadview Avenue north to Pine Swamp Road to the Woonsocket boundary.</w:t>
      </w:r>
    </w:p>
    <w:bookmarkEnd w:id="126"/>
    <w:bookmarkStart w:id="127" w:name="nonconforming-signs"/>
    <w:p>
      <w:pPr>
        <w:pStyle w:val="Heading2"/>
      </w:pPr>
      <w:r>
        <w:t xml:space="preserve">§ 13-10. Nonconforming signs</w:t>
      </w:r>
    </w:p>
    <w:p>
      <w:pPr>
        <w:pStyle w:val="FirstParagraph"/>
      </w:pPr>
      <w:r>
        <w:rPr>
          <w:i/>
          <w:iCs/>
        </w:rPr>
        <w:t xml:space="preserve">[Ord. No. 13-23-A, § 2, 2-19-2014]</w:t>
      </w:r>
    </w:p>
    <w:p>
      <w:pPr>
        <w:pStyle w:val="BodyText"/>
      </w:pPr>
      <w:r>
        <w:t xml:space="preserve">Any sign, which lawfully existed and was maintained at the time this article, as amended, became effective, may be continued. Maintenance, repairs and changing of sign faces are permitted, provided that there is no change in area, height, setback, projection or lighting of the existing sign.</w:t>
      </w:r>
    </w:p>
    <w:bookmarkEnd w:id="127"/>
    <w:bookmarkStart w:id="128" w:name="supplemental-sign-regulations"/>
    <w:p>
      <w:pPr>
        <w:pStyle w:val="Heading2"/>
      </w:pPr>
      <w:r>
        <w:t xml:space="preserve">§ 13-11. Supplemental sign regulations</w:t>
      </w:r>
    </w:p>
    <w:p>
      <w:pPr>
        <w:pStyle w:val="FirstParagraph"/>
      </w:pPr>
      <w:r>
        <w:rPr>
          <w:i/>
          <w:iCs/>
        </w:rPr>
        <w:t xml:space="preserve">[Ord. No. 13-23-A, § 2, 2-19-2014]</w:t>
      </w:r>
    </w:p>
    <w:p>
      <w:pPr>
        <w:pStyle w:val="Compact"/>
        <w:numPr>
          <w:ilvl w:val="0"/>
          <w:numId w:val="1129"/>
        </w:numPr>
      </w:pPr>
      <w:r>
        <w:t xml:space="preserve">(a) Signs in historic districts. All signs, including window signs, except political signs, in a historic district shall be subject to approval by the historic district commission and its regulations.</w:t>
      </w:r>
    </w:p>
    <w:p>
      <w:pPr>
        <w:pStyle w:val="Compact"/>
        <w:numPr>
          <w:ilvl w:val="0"/>
          <w:numId w:val="1129"/>
        </w:numPr>
      </w:pPr>
      <w:r>
        <w:t xml:space="preserve">(b) Signs in overlay and special districts. Signs in overlay and special districts shall conform to the corresponding requirements of such district. If there are no sign regulations for such district, then the requirements for the underlying zoning district shall be followed.</w:t>
      </w:r>
    </w:p>
    <w:bookmarkEnd w:id="128"/>
    <w:bookmarkStart w:id="129" w:name="off-street-parking-and-loading-1"/>
    <w:p>
      <w:pPr>
        <w:pStyle w:val="Heading1"/>
      </w:pPr>
      <w:r>
        <w:t xml:space="preserve">§ 14. Off-Street Parking and Loading</w:t>
      </w:r>
    </w:p>
    <w:bookmarkEnd w:id="129"/>
    <w:bookmarkStart w:id="130" w:name="off-street-parking-requirements"/>
    <w:p>
      <w:pPr>
        <w:pStyle w:val="Heading2"/>
      </w:pPr>
      <w:r>
        <w:t xml:space="preserve">§ 14-1. Off-street parking requirements</w:t>
      </w:r>
    </w:p>
    <w:p>
      <w:pPr>
        <w:pStyle w:val="FirstParagraph"/>
      </w:pPr>
      <w:r>
        <w:rPr>
          <w:i/>
          <w:iCs/>
        </w:rPr>
        <w:t xml:space="preserve">[Ord. No. 08-31, 10-7-2009; amended 4-15-2026 by Ord. No. 26-03]</w:t>
      </w:r>
    </w:p>
    <w:p>
      <w:pPr>
        <w:pStyle w:val="BodyText"/>
      </w:pPr>
      <w:r>
        <w:t xml:space="preserve">No land shall be used or occupied and no structure shall be erected or used unless the off-street parking spaces required herein are provided. Uses and structures, which are nonconforming by parking, are controlled by § 16-8. While it is the intent of this article to require minimum off-street parking and loading facilities, excessive paving of land that supplies significantly more than the minimum numbers of spaces is discouraged.</w:t>
      </w:r>
    </w:p>
    <w:p>
      <w:pPr>
        <w:pStyle w:val="Compact"/>
        <w:numPr>
          <w:ilvl w:val="0"/>
          <w:numId w:val="1130"/>
        </w:numPr>
      </w:pPr>
      <w:r>
        <w:t xml:space="preserve">(a) Location of required parking spaces. The off-street parking spaces required by this appendix shall be on the same lot as the structure or use they are intended to serve, or on an abutting lot.</w:t>
      </w:r>
    </w:p>
    <w:p>
      <w:pPr>
        <w:pStyle w:val="Compact"/>
        <w:numPr>
          <w:ilvl w:val="0"/>
          <w:numId w:val="1130"/>
        </w:numPr>
      </w:pPr>
      <w:r>
        <w:t xml:space="preserve">(b) Shared parking. No part of an off-street parking area required for any building or use for the purpose of complying with the provisions of this article shall be included as a part of an off-street parking area similarly required for another building or use unless allowed by a variance or through unified development review as applicable.</w:t>
      </w:r>
    </w:p>
    <w:bookmarkEnd w:id="130"/>
    <w:bookmarkStart w:id="131" w:name="Xa803c5dd4d3bade309e5c37575809d71e17bdde"/>
    <w:p>
      <w:pPr>
        <w:pStyle w:val="Heading2"/>
      </w:pPr>
      <w:r>
        <w:t xml:space="preserve">§ 14-2. Parking space dimensions and construction</w:t>
      </w:r>
    </w:p>
    <w:p>
      <w:pPr>
        <w:pStyle w:val="FirstParagraph"/>
      </w:pPr>
      <w:r>
        <w:rPr>
          <w:i/>
          <w:iCs/>
        </w:rPr>
        <w:t xml:space="preserve">[Ord. No. 08-31, 10-7-2009; amended 4-15-2026 by Ord. No. 26-03]</w:t>
      </w:r>
    </w:p>
    <w:p>
      <w:pPr>
        <w:numPr>
          <w:ilvl w:val="0"/>
          <w:numId w:val="1131"/>
        </w:numPr>
      </w:pPr>
      <w:r>
        <w:t xml:space="preserve">(a) Minimum size of parking spaces. Each parking space shall be marked by painted lines and contain the following minimum dimensions affecting the width and length of individual parking stalls and the width of aisles in all districts, exclusive of necessary drives and other access ways. A driveway may be considered a required parking space only for a detached single- or two-family dwelling and need not contain painted lines.</w:t>
      </w:r>
    </w:p>
    <w:p>
      <w:pPr>
        <w:numPr>
          <w:ilvl w:val="0"/>
          <w:numId w:val="1000"/>
        </w:numPr>
      </w:pPr>
      <w:r>
        <w:t xml:space="preserve">In addition, all nonresidential land uses shall provide handicapped parking spaces which meet the design standards specified in accordance with the American Disabilities Act (ADA).</w:t>
      </w:r>
    </w:p>
    <w:tbl>
      <w:tblPr>
        <w:tblStyle w:val="Table"/>
        <w:tblW w:type="auto" w:w="0"/>
        <w:jc w:val="left"/>
        <w:tblInd w:w="720" w:type="dxa"/>
        <w:tblLook w:firstRow="0" w:lastRow="0" w:firstColumn="0" w:lastColumn="0" w:noHBand="0" w:noVBand="0" w:val="0000"/>
      </w:tblPr>
      <w:tblGrid>
        <w:gridCol w:w="2640"/>
        <w:gridCol w:w="2640"/>
        <w:gridCol w:w="2640"/>
      </w:tblGrid>
      <w:tr>
        <w:tc>
          <w:tcPr>
            <w:gridSpan w:val="3"/>
          </w:tcPr>
          <w:p>
            <w:pPr>
              <w:pStyle w:val="Compact"/>
              <w:jc w:val="left"/>
            </w:pPr>
            <w:r>
              <w:rPr>
                <w:b/>
                <w:bCs/>
              </w:rPr>
              <w:t xml:space="preserve">Parking Space Dimensions</w:t>
            </w:r>
          </w:p>
        </w:tc>
      </w:tr>
      <w:tr>
        <w:tc>
          <w:tcPr>
            <w:gridSpan w:val="2"/>
          </w:tcPr>
          <w:p>
            <w:pPr>
              <w:pStyle w:val="Compact"/>
              <w:jc w:val="left"/>
            </w:pPr>
            <w:r>
              <w:t xml:space="preserve">Minimum width</w:t>
            </w:r>
          </w:p>
        </w:tc>
        <w:tc>
          <w:tcPr/>
          <w:p>
            <w:pPr>
              <w:pStyle w:val="Compact"/>
              <w:jc w:val="left"/>
            </w:pPr>
            <w:r>
              <w:t xml:space="preserve">9 feet</w:t>
            </w:r>
          </w:p>
        </w:tc>
      </w:tr>
      <w:tr>
        <w:tc>
          <w:tcPr>
            <w:gridSpan w:val="2"/>
          </w:tcPr>
          <w:p>
            <w:pPr>
              <w:pStyle w:val="Compact"/>
              <w:jc w:val="left"/>
            </w:pPr>
            <w:r>
              <w:t xml:space="preserve">Minimum length</w:t>
            </w:r>
          </w:p>
        </w:tc>
        <w:tc>
          <w:tcPr/>
          <w:p>
            <w:pPr>
              <w:pStyle w:val="Compact"/>
              <w:jc w:val="left"/>
            </w:pPr>
            <w:r>
              <w:t xml:space="preserve">18 feet</w:t>
            </w:r>
          </w:p>
        </w:tc>
      </w:tr>
      <w:tr>
        <w:tc>
          <w:tcPr>
            <w:gridSpan w:val="2"/>
          </w:tcPr>
          <w:p>
            <w:pPr>
              <w:pStyle w:val="Compact"/>
              <w:jc w:val="left"/>
            </w:pPr>
            <w:r>
              <w:t xml:space="preserve">Minimum aisle width:</w:t>
            </w:r>
          </w:p>
        </w:tc>
        <w:tc>
          <w:tcPr/>
          <w:p>
            <w:pPr>
              <w:pStyle w:val="Compact"/>
            </w:pPr>
          </w:p>
        </w:tc>
      </w:tr>
      <w:tr>
        <w:tc>
          <w:tcPr>
            <w:gridSpan w:val="2"/>
          </w:tcPr>
          <w:p>
            <w:pPr>
              <w:pStyle w:val="Compact"/>
              <w:jc w:val="left"/>
            </w:pPr>
            <w:r>
              <w:t xml:space="preserve">90° angle</w:t>
            </w:r>
          </w:p>
        </w:tc>
        <w:tc>
          <w:tcPr/>
          <w:p>
            <w:pPr>
              <w:pStyle w:val="Compact"/>
              <w:jc w:val="left"/>
            </w:pPr>
            <w:r>
              <w:t xml:space="preserve">24 feet</w:t>
            </w:r>
          </w:p>
        </w:tc>
      </w:tr>
      <w:tr>
        <w:tc>
          <w:tcPr>
            <w:gridSpan w:val="2"/>
          </w:tcPr>
          <w:p>
            <w:pPr>
              <w:pStyle w:val="Compact"/>
              <w:jc w:val="left"/>
            </w:pPr>
            <w:r>
              <w:t xml:space="preserve">60° angle</w:t>
            </w:r>
          </w:p>
        </w:tc>
        <w:tc>
          <w:tcPr/>
          <w:p>
            <w:pPr>
              <w:pStyle w:val="Compact"/>
              <w:jc w:val="left"/>
            </w:pPr>
            <w:r>
              <w:t xml:space="preserve">18 feet</w:t>
            </w:r>
          </w:p>
        </w:tc>
      </w:tr>
      <w:tr>
        <w:tc>
          <w:tcPr>
            <w:gridSpan w:val="2"/>
          </w:tcPr>
          <w:p>
            <w:pPr>
              <w:pStyle w:val="Compact"/>
              <w:jc w:val="left"/>
            </w:pPr>
            <w:r>
              <w:t xml:space="preserve">45° angle</w:t>
            </w:r>
          </w:p>
        </w:tc>
        <w:tc>
          <w:tcPr/>
          <w:p>
            <w:pPr>
              <w:pStyle w:val="Compact"/>
              <w:jc w:val="left"/>
            </w:pPr>
            <w:r>
              <w:t xml:space="preserve">13 feet</w:t>
            </w:r>
          </w:p>
        </w:tc>
      </w:tr>
      <w:tr>
        <w:tc>
          <w:tcPr>
            <w:gridSpan w:val="2"/>
          </w:tcPr>
          <w:p>
            <w:pPr>
              <w:pStyle w:val="Compact"/>
              <w:jc w:val="left"/>
            </w:pPr>
            <w:r>
              <w:t xml:space="preserve">30° angle</w:t>
            </w:r>
          </w:p>
        </w:tc>
        <w:tc>
          <w:tcPr/>
          <w:p>
            <w:pPr>
              <w:pStyle w:val="Compact"/>
              <w:jc w:val="left"/>
            </w:pPr>
            <w:r>
              <w:t xml:space="preserve">11 feet</w:t>
            </w:r>
          </w:p>
        </w:tc>
      </w:tr>
      <w:tr>
        <w:tc>
          <w:tcPr>
            <w:gridSpan w:val="2"/>
          </w:tcPr>
          <w:p>
            <w:pPr>
              <w:pStyle w:val="Compact"/>
              <w:jc w:val="left"/>
            </w:pPr>
            <w:r>
              <w:t xml:space="preserve">0° (parallel parking)</w:t>
            </w:r>
          </w:p>
        </w:tc>
        <w:tc>
          <w:tcPr/>
          <w:p>
            <w:pPr>
              <w:pStyle w:val="Compact"/>
              <w:jc w:val="left"/>
            </w:pPr>
            <w:r>
              <w:t xml:space="preserve">12 feet</w:t>
            </w:r>
          </w:p>
        </w:tc>
      </w:tr>
    </w:tbl>
    <w:p>
      <w:pPr>
        <w:pStyle w:val="Compact"/>
        <w:numPr>
          <w:ilvl w:val="0"/>
          <w:numId w:val="1131"/>
        </w:numPr>
      </w:pPr>
      <w:r>
        <w:t xml:space="preserve">(b) Setbacks of parking spaces. No parking space or aisle (back-up space) shall be less than 10 feet from any front or corner side yard line. No parking space or aisle shall be less than five feet from any building, except where greater setbacks are required. Parking spaces less than 10 feet from any building shall be separated from such building by raised curb, bumper or wheel guards. The requirements of this subsection shall not apply to detached single or two-family dwellings.</w:t>
      </w:r>
    </w:p>
    <w:p>
      <w:pPr>
        <w:pStyle w:val="Compact"/>
        <w:numPr>
          <w:ilvl w:val="0"/>
          <w:numId w:val="1131"/>
        </w:numPr>
      </w:pPr>
      <w:r>
        <w:t xml:space="preserve">(c) Entrance and exit. Each parking space shall be designed with adequate off-street area for approach, turning and exit without the need or ability to use any part of a street. In all districts except residential districts, driveways shall be a minimum of 12 feet in width for each lane of traffic using such driveway and the width of any driveway shall not exceed 30 feet.</w:t>
      </w:r>
    </w:p>
    <w:p>
      <w:pPr>
        <w:pStyle w:val="Compact"/>
        <w:numPr>
          <w:ilvl w:val="0"/>
          <w:numId w:val="1131"/>
        </w:numPr>
      </w:pPr>
      <w:r>
        <w:t xml:space="preserve">(d) Construction requirements. Every parcel of land which, after the effective date of this appendix or any amendment thereto, is changed which includes a parking area for more than 10 vehicles, or to a drive-in business or motor vehicle sales or service establishment, shall be developed as follows, subject to the approval of plans thereof by the Building Official.</w:t>
      </w:r>
    </w:p>
    <w:p>
      <w:pPr>
        <w:pStyle w:val="Compact"/>
        <w:numPr>
          <w:ilvl w:val="1"/>
          <w:numId w:val="1132"/>
        </w:numPr>
      </w:pPr>
      <w:r>
        <w:t xml:space="preserve">(1) Such parking area shall be treated with bituminous or other suitable surfacing and shall have appropriate bumper or wheel guards where needed. However, the use of pervious materials is encouraged where appropriate to limit the generation of stormwater runoff and encourage groundwater recharge. The use of "best management practices" (BMPs) to control the volume and quality of stormwater run-off shall be required.</w:t>
      </w:r>
    </w:p>
    <w:p>
      <w:pPr>
        <w:pStyle w:val="Compact"/>
        <w:numPr>
          <w:ilvl w:val="1"/>
          <w:numId w:val="1132"/>
        </w:numPr>
      </w:pPr>
      <w:r>
        <w:t xml:space="preserve">(2) The interior of parking areas shall be suitably landscaped with trees, shrubs, vegetation or ground cover in accordance with the Town of Cumberland's Land Development and Subdivision Regulations.</w:t>
      </w:r>
    </w:p>
    <w:p>
      <w:pPr>
        <w:pStyle w:val="Compact"/>
        <w:numPr>
          <w:ilvl w:val="1"/>
          <w:numId w:val="1132"/>
        </w:numPr>
      </w:pPr>
      <w:r>
        <w:t xml:space="preserve">(3) Any light used to illuminate said parking area should be so arranged as to reflect the light away from adjoining premises and streets. Lighting shall be located and designed in accordance with the Land Development and Subdivision Regulations.</w:t>
      </w:r>
    </w:p>
    <w:bookmarkEnd w:id="131"/>
    <w:bookmarkStart w:id="132" w:name="parking-requirements-by-use"/>
    <w:p>
      <w:pPr>
        <w:pStyle w:val="Heading2"/>
      </w:pPr>
      <w:r>
        <w:t xml:space="preserve">§ 14-3. Parking requirements by use</w:t>
      </w:r>
    </w:p>
    <w:p>
      <w:pPr>
        <w:pStyle w:val="FirstParagraph"/>
      </w:pPr>
      <w:r>
        <w:rPr>
          <w:i/>
          <w:iCs/>
        </w:rPr>
        <w:t xml:space="preserve">[Ord. No. 08-31, 10-7-2009; amended 5-15-2024 by Ord. No. 24-07; 4-15-2026 by Ord. No. 26-03]</w:t>
      </w:r>
    </w:p>
    <w:p>
      <w:pPr>
        <w:pStyle w:val="BodyText"/>
      </w:pPr>
      <w:r>
        <w:t xml:space="preserve">The minimum number of off-street parking spaces required for each use shall be as set forth in the following table. Where the resulting number of spaces includes a fraction thereof, the required number of spaces shall be rounded up to the next highest integer. Where the application of any minimum parking requirement to an individual use may be in question, the Building Official shall make the final determination as to which minimum parking requirement shall be applied to a proposed use or change of use.</w:t>
      </w:r>
    </w:p>
    <w:p>
      <w:pPr>
        <w:pStyle w:val="Compact"/>
        <w:numPr>
          <w:ilvl w:val="0"/>
          <w:numId w:val="1133"/>
        </w:numPr>
      </w:pPr>
      <w:r>
        <w:t xml:space="preserve">(a) Minimum parking requirements. All uses, whether considered accessory or not, must comply with the following requirements:</w:t>
      </w:r>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Parking Requirements by Use</w:t>
            </w:r>
          </w:p>
        </w:tc>
      </w:tr>
      <w:tr>
        <w:tc>
          <w:tcPr/>
          <w:p>
            <w:pPr>
              <w:pStyle w:val="Compact"/>
              <w:jc w:val="left"/>
            </w:pPr>
            <w:r>
              <w:t xml:space="preserve">Use</w:t>
            </w:r>
          </w:p>
        </w:tc>
        <w:tc>
          <w:tcPr/>
          <w:p>
            <w:pPr>
              <w:pStyle w:val="Compact"/>
              <w:jc w:val="left"/>
            </w:pPr>
            <w:r>
              <w:t xml:space="preserve">Minimum Parking Spaces Required</w:t>
            </w:r>
          </w:p>
        </w:tc>
      </w:tr>
      <w:tr>
        <w:tc>
          <w:tcPr>
            <w:gridSpan w:val="2"/>
          </w:tcPr>
          <w:p>
            <w:pPr>
              <w:pStyle w:val="Compact"/>
              <w:jc w:val="left"/>
            </w:pPr>
            <w:r>
              <w:rPr>
                <w:b/>
                <w:bCs/>
              </w:rPr>
              <w:t xml:space="preserve">Residential:</w:t>
            </w:r>
          </w:p>
        </w:tc>
      </w:tr>
      <w:tr>
        <w:tc>
          <w:tcPr/>
          <w:p>
            <w:pPr>
              <w:pStyle w:val="Compact"/>
              <w:jc w:val="left"/>
            </w:pPr>
            <w:r>
              <w:t xml:space="preserve">Dwelling Unit</w:t>
            </w:r>
          </w:p>
        </w:tc>
        <w:tc>
          <w:tcPr/>
          <w:p>
            <w:pPr>
              <w:pStyle w:val="Compact"/>
              <w:jc w:val="left"/>
            </w:pPr>
            <w:r>
              <w:t xml:space="preserve">1 spaces per D.U.</w:t>
            </w:r>
          </w:p>
        </w:tc>
      </w:tr>
      <w:tr>
        <w:tc>
          <w:tcPr/>
          <w:p>
            <w:pPr>
              <w:pStyle w:val="Compact"/>
              <w:jc w:val="left"/>
            </w:pPr>
            <w:r>
              <w:t xml:space="preserve">Elderly housing</w:t>
            </w:r>
          </w:p>
        </w:tc>
        <w:tc>
          <w:tcPr/>
          <w:p>
            <w:pPr>
              <w:pStyle w:val="Compact"/>
              <w:jc w:val="left"/>
            </w:pPr>
            <w:r>
              <w:t xml:space="preserve">1 space per D.U.</w:t>
            </w:r>
          </w:p>
        </w:tc>
      </w:tr>
      <w:tr>
        <w:tc>
          <w:tcPr/>
          <w:p>
            <w:pPr>
              <w:pStyle w:val="Compact"/>
              <w:jc w:val="left"/>
            </w:pPr>
            <w:r>
              <w:t xml:space="preserve">Nursing home, assisted living</w:t>
            </w:r>
          </w:p>
        </w:tc>
        <w:tc>
          <w:tcPr/>
          <w:p>
            <w:pPr>
              <w:pStyle w:val="Compact"/>
              <w:jc w:val="left"/>
            </w:pPr>
            <w:r>
              <w:t xml:space="preserve">1 space per 4 beds, plus 1 space for every 2 employees (largest shift)</w:t>
            </w:r>
          </w:p>
        </w:tc>
      </w:tr>
      <w:tr>
        <w:tc>
          <w:tcPr/>
          <w:p>
            <w:pPr>
              <w:pStyle w:val="Compact"/>
              <w:jc w:val="left"/>
            </w:pPr>
            <w:r>
              <w:t xml:space="preserve">Rooming house</w:t>
            </w:r>
          </w:p>
        </w:tc>
        <w:tc>
          <w:tcPr/>
          <w:p>
            <w:pPr>
              <w:pStyle w:val="Compact"/>
              <w:jc w:val="left"/>
            </w:pPr>
            <w:r>
              <w:t xml:space="preserve">1 space per 2 rooms</w:t>
            </w:r>
          </w:p>
        </w:tc>
      </w:tr>
      <w:tr>
        <w:tc>
          <w:tcPr/>
          <w:p>
            <w:pPr>
              <w:pStyle w:val="Compact"/>
              <w:jc w:val="left"/>
            </w:pPr>
            <w:r>
              <w:rPr>
                <w:b/>
                <w:bCs/>
              </w:rPr>
              <w:t xml:space="preserve">Office:</w:t>
            </w:r>
          </w:p>
        </w:tc>
        <w:tc>
          <w:tcPr/>
          <w:p>
            <w:pPr>
              <w:pStyle w:val="Compact"/>
              <w:jc w:val="left"/>
            </w:pPr>
            <w:r>
              <w:t xml:space="preserve">1 space per 400 square feet GFA</w:t>
            </w:r>
          </w:p>
        </w:tc>
      </w:tr>
      <w:tr>
        <w:tc>
          <w:tcPr>
            <w:gridSpan w:val="2"/>
          </w:tcPr>
          <w:p>
            <w:pPr>
              <w:pStyle w:val="Compact"/>
              <w:jc w:val="left"/>
            </w:pPr>
            <w:r>
              <w:rPr>
                <w:b/>
                <w:bCs/>
              </w:rPr>
              <w:t xml:space="preserve">Service:</w:t>
            </w:r>
          </w:p>
        </w:tc>
      </w:tr>
      <w:tr>
        <w:tc>
          <w:tcPr/>
          <w:p>
            <w:pPr>
              <w:pStyle w:val="Compact"/>
              <w:jc w:val="left"/>
            </w:pPr>
            <w:r>
              <w:t xml:space="preserve">Business and commercial General service</w:t>
            </w:r>
          </w:p>
        </w:tc>
        <w:tc>
          <w:tcPr/>
          <w:p>
            <w:pPr>
              <w:pStyle w:val="Compact"/>
              <w:jc w:val="left"/>
            </w:pPr>
            <w:r>
              <w:t xml:space="preserve">1 space per 400 square feet GFA</w:t>
            </w:r>
          </w:p>
        </w:tc>
      </w:tr>
      <w:tr>
        <w:tc>
          <w:tcPr/>
          <w:p>
            <w:pPr>
              <w:pStyle w:val="Compact"/>
              <w:jc w:val="left"/>
            </w:pPr>
            <w:r>
              <w:t xml:space="preserve">Hotel/Motel</w:t>
            </w:r>
          </w:p>
        </w:tc>
        <w:tc>
          <w:tcPr/>
          <w:p>
            <w:pPr>
              <w:pStyle w:val="Compact"/>
              <w:jc w:val="left"/>
            </w:pPr>
            <w:r>
              <w:t xml:space="preserve">1 space per bedroom</w:t>
            </w:r>
          </w:p>
        </w:tc>
      </w:tr>
      <w:tr>
        <w:tc>
          <w:tcPr/>
          <w:p>
            <w:pPr>
              <w:pStyle w:val="Compact"/>
              <w:jc w:val="left"/>
            </w:pPr>
            <w:r>
              <w:t xml:space="preserve">Funeral home</w:t>
            </w:r>
          </w:p>
        </w:tc>
        <w:tc>
          <w:tcPr/>
          <w:p>
            <w:pPr>
              <w:pStyle w:val="Compact"/>
              <w:jc w:val="left"/>
            </w:pPr>
            <w:r>
              <w:t xml:space="preserve">2.5 spaces per 300 square feet of assembly area, or 10 spaces per parlor, whichever is greater</w:t>
            </w:r>
          </w:p>
        </w:tc>
      </w:tr>
      <w:tr>
        <w:tc>
          <w:tcPr/>
          <w:p>
            <w:pPr>
              <w:pStyle w:val="Compact"/>
              <w:jc w:val="left"/>
            </w:pPr>
            <w:r>
              <w:t xml:space="preserve">Theater and auditorium</w:t>
            </w:r>
          </w:p>
        </w:tc>
        <w:tc>
          <w:tcPr/>
          <w:p>
            <w:pPr>
              <w:pStyle w:val="Compact"/>
              <w:jc w:val="left"/>
            </w:pPr>
            <w:r>
              <w:t xml:space="preserve">1 space per 4 seats</w:t>
            </w:r>
          </w:p>
        </w:tc>
      </w:tr>
      <w:tr>
        <w:tc>
          <w:tcPr/>
          <w:p>
            <w:pPr>
              <w:pStyle w:val="Compact"/>
              <w:jc w:val="left"/>
            </w:pPr>
            <w:r>
              <w:t xml:space="preserve">Indoor commercial recreation</w:t>
            </w:r>
          </w:p>
        </w:tc>
        <w:tc>
          <w:tcPr/>
          <w:p>
            <w:pPr>
              <w:pStyle w:val="Compact"/>
              <w:jc w:val="left"/>
            </w:pPr>
            <w:r>
              <w:t xml:space="preserve">Minimum Parking Plan Required</w:t>
            </w:r>
          </w:p>
        </w:tc>
      </w:tr>
      <w:tr>
        <w:tc>
          <w:tcPr/>
          <w:p>
            <w:pPr>
              <w:pStyle w:val="Compact"/>
              <w:jc w:val="left"/>
            </w:pPr>
            <w:r>
              <w:t xml:space="preserve">Outdoor recreation facility</w:t>
            </w:r>
          </w:p>
        </w:tc>
        <w:tc>
          <w:tcPr/>
          <w:p>
            <w:pPr>
              <w:pStyle w:val="Compact"/>
              <w:jc w:val="left"/>
            </w:pPr>
            <w:r>
              <w:t xml:space="preserve">Minimum Parking Plan Required</w:t>
            </w:r>
          </w:p>
        </w:tc>
      </w:tr>
      <w:tr>
        <w:tc>
          <w:tcPr/>
          <w:p>
            <w:pPr>
              <w:pStyle w:val="Compact"/>
              <w:jc w:val="left"/>
            </w:pPr>
            <w:r>
              <w:t xml:space="preserve">Gas and service station</w:t>
            </w:r>
          </w:p>
        </w:tc>
        <w:tc>
          <w:tcPr/>
          <w:p>
            <w:pPr>
              <w:pStyle w:val="Compact"/>
              <w:jc w:val="left"/>
            </w:pPr>
            <w:r>
              <w:t xml:space="preserve">1 space per employee (largest shift), plus 4 spaces per bay</w:t>
            </w:r>
          </w:p>
        </w:tc>
      </w:tr>
      <w:tr>
        <w:tc>
          <w:tcPr>
            <w:gridSpan w:val="2"/>
          </w:tcPr>
          <w:p>
            <w:pPr>
              <w:pStyle w:val="Compact"/>
              <w:jc w:val="left"/>
            </w:pPr>
            <w:r>
              <w:rPr>
                <w:b/>
                <w:bCs/>
              </w:rPr>
              <w:t xml:space="preserve">Retail:</w:t>
            </w:r>
          </w:p>
        </w:tc>
      </w:tr>
      <w:tr>
        <w:tc>
          <w:tcPr/>
          <w:p>
            <w:pPr>
              <w:pStyle w:val="Compact"/>
              <w:jc w:val="left"/>
            </w:pPr>
            <w:r>
              <w:t xml:space="preserve">Restaurant</w:t>
            </w:r>
          </w:p>
        </w:tc>
        <w:tc>
          <w:tcPr/>
          <w:p>
            <w:pPr>
              <w:pStyle w:val="Compact"/>
              <w:jc w:val="left"/>
            </w:pPr>
            <w:r>
              <w:t xml:space="preserve">1 space per 4 seats or 1 space per 300 square feet GFA, whichever is greater</w:t>
            </w:r>
          </w:p>
        </w:tc>
      </w:tr>
      <w:tr>
        <w:tc>
          <w:tcPr/>
          <w:p>
            <w:pPr>
              <w:pStyle w:val="Compact"/>
              <w:jc w:val="left"/>
            </w:pPr>
            <w:r>
              <w:t xml:space="preserve">Fast food</w:t>
            </w:r>
          </w:p>
        </w:tc>
        <w:tc>
          <w:tcPr/>
          <w:p>
            <w:pPr>
              <w:pStyle w:val="Compact"/>
              <w:jc w:val="left"/>
            </w:pPr>
            <w:r>
              <w:t xml:space="preserve">1 space per 2 seats or 1 space per 150 square feet GFA, whichever is greater</w:t>
            </w:r>
          </w:p>
        </w:tc>
      </w:tr>
      <w:tr>
        <w:tc>
          <w:tcPr/>
          <w:p>
            <w:pPr>
              <w:pStyle w:val="Compact"/>
              <w:jc w:val="left"/>
            </w:pPr>
            <w:r>
              <w:t xml:space="preserve">Convenience store</w:t>
            </w:r>
          </w:p>
        </w:tc>
        <w:tc>
          <w:tcPr/>
          <w:p>
            <w:pPr>
              <w:pStyle w:val="Compact"/>
              <w:jc w:val="left"/>
            </w:pPr>
            <w:r>
              <w:t xml:space="preserve">1 space per 300 square feet GFA</w:t>
            </w:r>
          </w:p>
        </w:tc>
      </w:tr>
      <w:tr>
        <w:tc>
          <w:tcPr/>
          <w:p>
            <w:pPr>
              <w:pStyle w:val="Compact"/>
              <w:jc w:val="left"/>
            </w:pPr>
            <w:r>
              <w:t xml:space="preserve">New and used vehicle sales</w:t>
            </w:r>
          </w:p>
        </w:tc>
        <w:tc>
          <w:tcPr/>
          <w:p>
            <w:pPr>
              <w:pStyle w:val="Compact"/>
              <w:jc w:val="left"/>
            </w:pPr>
            <w:r>
              <w:t xml:space="preserve">1 space per 500 square feet GFA</w:t>
            </w:r>
          </w:p>
        </w:tc>
      </w:tr>
      <w:tr>
        <w:tc>
          <w:tcPr/>
          <w:p>
            <w:pPr>
              <w:pStyle w:val="Compact"/>
              <w:jc w:val="left"/>
            </w:pPr>
            <w:r>
              <w:t xml:space="preserve">Furniture, appliance or carpet sales</w:t>
            </w:r>
          </w:p>
        </w:tc>
        <w:tc>
          <w:tcPr/>
          <w:p>
            <w:pPr>
              <w:pStyle w:val="Compact"/>
              <w:jc w:val="left"/>
            </w:pPr>
            <w:r>
              <w:t xml:space="preserve">1 space per 500 square feet GFA</w:t>
            </w:r>
          </w:p>
        </w:tc>
      </w:tr>
      <w:tr>
        <w:tc>
          <w:tcPr/>
          <w:p>
            <w:pPr>
              <w:pStyle w:val="Compact"/>
              <w:jc w:val="left"/>
            </w:pPr>
            <w:r>
              <w:t xml:space="preserve">Other retail uses</w:t>
            </w:r>
          </w:p>
        </w:tc>
        <w:tc>
          <w:tcPr/>
          <w:p>
            <w:pPr>
              <w:pStyle w:val="Compact"/>
              <w:jc w:val="left"/>
            </w:pPr>
            <w:r>
              <w:t xml:space="preserve">1 space per 300 square feet GFA, plus 1 space per employee (largest shift)</w:t>
            </w:r>
          </w:p>
        </w:tc>
      </w:tr>
      <w:tr>
        <w:tc>
          <w:tcPr>
            <w:gridSpan w:val="2"/>
          </w:tcPr>
          <w:p>
            <w:pPr>
              <w:pStyle w:val="Compact"/>
              <w:jc w:val="left"/>
            </w:pPr>
            <w:r>
              <w:rPr>
                <w:b/>
                <w:bCs/>
              </w:rPr>
              <w:t xml:space="preserve">Transportation and Utility:</w:t>
            </w:r>
          </w:p>
        </w:tc>
      </w:tr>
      <w:tr>
        <w:tc>
          <w:tcPr/>
          <w:p>
            <w:pPr>
              <w:pStyle w:val="Compact"/>
              <w:jc w:val="left"/>
            </w:pPr>
            <w:r>
              <w:t xml:space="preserve">Public and private utilities</w:t>
            </w:r>
          </w:p>
        </w:tc>
        <w:tc>
          <w:tcPr/>
          <w:p>
            <w:pPr>
              <w:pStyle w:val="Compact"/>
              <w:jc w:val="left"/>
            </w:pPr>
            <w:r>
              <w:t xml:space="preserve">Minimum Parking Plan Required</w:t>
            </w:r>
          </w:p>
        </w:tc>
      </w:tr>
      <w:tr>
        <w:tc>
          <w:tcPr/>
          <w:p>
            <w:pPr>
              <w:pStyle w:val="Compact"/>
              <w:jc w:val="left"/>
            </w:pPr>
            <w:r>
              <w:t xml:space="preserve">Commercial vehicle terminal</w:t>
            </w:r>
          </w:p>
        </w:tc>
        <w:tc>
          <w:tcPr/>
          <w:p>
            <w:pPr>
              <w:pStyle w:val="Compact"/>
              <w:jc w:val="left"/>
            </w:pPr>
            <w:r>
              <w:t xml:space="preserve">Minimum Parking Plan Required</w:t>
            </w:r>
          </w:p>
        </w:tc>
      </w:tr>
      <w:tr>
        <w:tc>
          <w:tcPr/>
          <w:p>
            <w:pPr>
              <w:pStyle w:val="Compact"/>
              <w:jc w:val="left"/>
            </w:pPr>
            <w:r>
              <w:t xml:space="preserve">Transportation Center</w:t>
            </w:r>
          </w:p>
        </w:tc>
        <w:tc>
          <w:tcPr/>
          <w:p>
            <w:pPr>
              <w:pStyle w:val="Compact"/>
              <w:jc w:val="left"/>
            </w:pPr>
            <w:r>
              <w:t xml:space="preserve">Minimum Parking Plan Required</w:t>
            </w:r>
          </w:p>
        </w:tc>
      </w:tr>
      <w:tr>
        <w:tc>
          <w:tcPr>
            <w:gridSpan w:val="2"/>
          </w:tcPr>
          <w:p>
            <w:pPr>
              <w:pStyle w:val="Compact"/>
              <w:jc w:val="left"/>
            </w:pPr>
            <w:r>
              <w:rPr>
                <w:b/>
                <w:bCs/>
              </w:rPr>
              <w:t xml:space="preserve">Institutional:</w:t>
            </w:r>
          </w:p>
        </w:tc>
      </w:tr>
      <w:tr>
        <w:tc>
          <w:tcPr/>
          <w:p>
            <w:pPr>
              <w:pStyle w:val="Compact"/>
              <w:jc w:val="left"/>
            </w:pPr>
            <w:r>
              <w:t xml:space="preserve">Place of worship</w:t>
            </w:r>
          </w:p>
        </w:tc>
        <w:tc>
          <w:tcPr/>
          <w:p>
            <w:pPr>
              <w:pStyle w:val="Compact"/>
              <w:jc w:val="left"/>
            </w:pPr>
            <w:r>
              <w:t xml:space="preserve">1 space per 3 seats plus 1 per room</w:t>
            </w:r>
          </w:p>
        </w:tc>
      </w:tr>
      <w:tr>
        <w:tc>
          <w:tcPr/>
          <w:p>
            <w:pPr>
              <w:pStyle w:val="Compact"/>
              <w:jc w:val="left"/>
            </w:pPr>
            <w:r>
              <w:t xml:space="preserve">Pre-school or Day Care</w:t>
            </w:r>
          </w:p>
        </w:tc>
        <w:tc>
          <w:tcPr/>
          <w:p>
            <w:pPr>
              <w:pStyle w:val="Compact"/>
              <w:jc w:val="left"/>
            </w:pPr>
            <w:r>
              <w:t xml:space="preserve">1 space per employee (largest shift) plus 1 space per 12 children.</w:t>
            </w:r>
          </w:p>
        </w:tc>
      </w:tr>
      <w:tr>
        <w:tc>
          <w:tcPr/>
          <w:p>
            <w:pPr>
              <w:pStyle w:val="Compact"/>
              <w:jc w:val="left"/>
            </w:pPr>
            <w:r>
              <w:t xml:space="preserve">Primary or junior high school</w:t>
            </w:r>
          </w:p>
        </w:tc>
        <w:tc>
          <w:tcPr/>
          <w:p>
            <w:pPr>
              <w:pStyle w:val="Compact"/>
              <w:jc w:val="left"/>
            </w:pPr>
            <w:r>
              <w:t xml:space="preserve">3 spaces per classroom</w:t>
            </w:r>
          </w:p>
        </w:tc>
      </w:tr>
      <w:tr>
        <w:tc>
          <w:tcPr/>
          <w:p>
            <w:pPr>
              <w:pStyle w:val="Compact"/>
              <w:jc w:val="left"/>
            </w:pPr>
            <w:r>
              <w:t xml:space="preserve">High school</w:t>
            </w:r>
          </w:p>
        </w:tc>
        <w:tc>
          <w:tcPr/>
          <w:p>
            <w:pPr>
              <w:pStyle w:val="Compact"/>
              <w:jc w:val="left"/>
            </w:pPr>
            <w:r>
              <w:t xml:space="preserve">1 space per 5 students</w:t>
            </w:r>
          </w:p>
        </w:tc>
      </w:tr>
      <w:tr>
        <w:tc>
          <w:tcPr/>
          <w:p>
            <w:pPr>
              <w:pStyle w:val="Compact"/>
              <w:jc w:val="left"/>
            </w:pPr>
            <w:r>
              <w:t xml:space="preserve">Post secondary school or college</w:t>
            </w:r>
          </w:p>
        </w:tc>
        <w:tc>
          <w:tcPr/>
          <w:p>
            <w:pPr>
              <w:pStyle w:val="Compact"/>
              <w:jc w:val="left"/>
            </w:pPr>
            <w:r>
              <w:t xml:space="preserve">1 space per 3 students</w:t>
            </w:r>
          </w:p>
        </w:tc>
      </w:tr>
      <w:tr>
        <w:tc>
          <w:tcPr/>
          <w:p>
            <w:pPr>
              <w:pStyle w:val="Compact"/>
              <w:jc w:val="left"/>
            </w:pPr>
            <w:r>
              <w:t xml:space="preserve">Hospital</w:t>
            </w:r>
          </w:p>
        </w:tc>
        <w:tc>
          <w:tcPr/>
          <w:p>
            <w:pPr>
              <w:pStyle w:val="Compact"/>
              <w:jc w:val="left"/>
            </w:pPr>
            <w:r>
              <w:t xml:space="preserve">1 space per 2 beds, plus 1 space for every 2 employees (largest shift)</w:t>
            </w:r>
          </w:p>
        </w:tc>
      </w:tr>
      <w:tr>
        <w:tc>
          <w:tcPr/>
          <w:p>
            <w:pPr>
              <w:pStyle w:val="Compact"/>
              <w:jc w:val="left"/>
            </w:pPr>
            <w:r>
              <w:t xml:space="preserve">Nursing home</w:t>
            </w:r>
          </w:p>
        </w:tc>
        <w:tc>
          <w:tcPr/>
          <w:p>
            <w:pPr>
              <w:pStyle w:val="Compact"/>
              <w:jc w:val="left"/>
            </w:pPr>
            <w:r>
              <w:t xml:space="preserve">1 space per 2 beds</w:t>
            </w:r>
          </w:p>
        </w:tc>
      </w:tr>
      <w:tr>
        <w:tc>
          <w:tcPr/>
          <w:p>
            <w:pPr>
              <w:pStyle w:val="Compact"/>
              <w:jc w:val="left"/>
            </w:pPr>
            <w:r>
              <w:t xml:space="preserve">Convalescent home</w:t>
            </w:r>
          </w:p>
        </w:tc>
        <w:tc>
          <w:tcPr/>
          <w:p>
            <w:pPr>
              <w:pStyle w:val="Compact"/>
              <w:jc w:val="left"/>
            </w:pPr>
            <w:r>
              <w:t xml:space="preserve">1 space per unit</w:t>
            </w:r>
          </w:p>
        </w:tc>
      </w:tr>
      <w:tr>
        <w:tc>
          <w:tcPr>
            <w:gridSpan w:val="2"/>
          </w:tcPr>
          <w:p>
            <w:pPr>
              <w:pStyle w:val="Compact"/>
              <w:jc w:val="left"/>
            </w:pPr>
            <w:r>
              <w:rPr>
                <w:b/>
                <w:bCs/>
              </w:rPr>
              <w:t xml:space="preserve">Recreation:</w:t>
            </w:r>
          </w:p>
        </w:tc>
      </w:tr>
      <w:tr>
        <w:tc>
          <w:tcPr/>
          <w:p>
            <w:pPr>
              <w:pStyle w:val="Compact"/>
              <w:jc w:val="left"/>
            </w:pPr>
            <w:r>
              <w:t xml:space="preserve">Theater and auditorium</w:t>
            </w:r>
          </w:p>
        </w:tc>
        <w:tc>
          <w:tcPr/>
          <w:p>
            <w:pPr>
              <w:pStyle w:val="Compact"/>
              <w:jc w:val="left"/>
            </w:pPr>
            <w:r>
              <w:t xml:space="preserve">1 space per 4 seats</w:t>
            </w:r>
          </w:p>
        </w:tc>
      </w:tr>
      <w:tr>
        <w:tc>
          <w:tcPr/>
          <w:p>
            <w:pPr>
              <w:pStyle w:val="Compact"/>
              <w:jc w:val="left"/>
            </w:pPr>
            <w:r>
              <w:t xml:space="preserve">Indoor commercial recreation</w:t>
            </w:r>
          </w:p>
        </w:tc>
        <w:tc>
          <w:tcPr/>
          <w:p>
            <w:pPr>
              <w:pStyle w:val="Compact"/>
              <w:jc w:val="left"/>
            </w:pPr>
            <w:r>
              <w:t xml:space="preserve">1 space per 200 square feet GFA</w:t>
            </w:r>
          </w:p>
        </w:tc>
      </w:tr>
      <w:tr>
        <w:tc>
          <w:tcPr/>
          <w:p>
            <w:pPr>
              <w:pStyle w:val="Compact"/>
              <w:jc w:val="left"/>
            </w:pPr>
            <w:r>
              <w:t xml:space="preserve">Outdoor recreation facility</w:t>
            </w:r>
          </w:p>
        </w:tc>
        <w:tc>
          <w:tcPr/>
          <w:p>
            <w:pPr>
              <w:pStyle w:val="Compact"/>
              <w:jc w:val="left"/>
            </w:pPr>
            <w:r>
              <w:t xml:space="preserve">1 space per 5 persons at maximum capacity, plus 1 space per 500 square feet GFA within enclosed buildings.</w:t>
            </w:r>
          </w:p>
        </w:tc>
      </w:tr>
      <w:tr>
        <w:tc>
          <w:tcPr/>
          <w:p>
            <w:pPr>
              <w:pStyle w:val="Compact"/>
              <w:jc w:val="left"/>
            </w:pPr>
            <w:r>
              <w:t xml:space="preserve">Library, museum</w:t>
            </w:r>
          </w:p>
        </w:tc>
        <w:tc>
          <w:tcPr/>
          <w:p>
            <w:pPr>
              <w:pStyle w:val="Compact"/>
              <w:jc w:val="left"/>
            </w:pPr>
            <w:r>
              <w:t xml:space="preserve">1 space per 500 square feet GFA</w:t>
            </w:r>
          </w:p>
        </w:tc>
      </w:tr>
      <w:tr>
        <w:tc>
          <w:tcPr>
            <w:gridSpan w:val="2"/>
          </w:tcPr>
          <w:p>
            <w:pPr>
              <w:pStyle w:val="Compact"/>
              <w:jc w:val="left"/>
            </w:pPr>
            <w:r>
              <w:rPr>
                <w:b/>
                <w:bCs/>
              </w:rPr>
              <w:t xml:space="preserve">Industrial:</w:t>
            </w:r>
          </w:p>
        </w:tc>
      </w:tr>
      <w:tr>
        <w:tc>
          <w:tcPr/>
          <w:p>
            <w:pPr>
              <w:pStyle w:val="Compact"/>
              <w:jc w:val="left"/>
            </w:pPr>
            <w:r>
              <w:t xml:space="preserve">Wholesale business, storage space and warehouses</w:t>
            </w:r>
          </w:p>
        </w:tc>
        <w:tc>
          <w:tcPr/>
          <w:p>
            <w:pPr>
              <w:pStyle w:val="Compact"/>
              <w:jc w:val="left"/>
            </w:pPr>
            <w:r>
              <w:t xml:space="preserve">1 space per employee (largest shift) plus 1 space for each company vehicle</w:t>
            </w:r>
          </w:p>
        </w:tc>
      </w:tr>
      <w:tr>
        <w:tc>
          <w:tcPr/>
          <w:p>
            <w:pPr>
              <w:pStyle w:val="Compact"/>
              <w:jc w:val="left"/>
            </w:pPr>
            <w:r>
              <w:t xml:space="preserve">Manufacturing, processing, assembly or packaging</w:t>
            </w:r>
          </w:p>
        </w:tc>
        <w:tc>
          <w:tcPr/>
          <w:p>
            <w:pPr>
              <w:pStyle w:val="Compact"/>
              <w:jc w:val="left"/>
            </w:pPr>
            <w:r>
              <w:t xml:space="preserve">1 space per employee (largest shift) plus 1 space for each company vehicle</w:t>
            </w:r>
          </w:p>
        </w:tc>
      </w:tr>
    </w:tbl>
    <w:p>
      <w:pPr>
        <w:pStyle w:val="Compact"/>
        <w:numPr>
          <w:ilvl w:val="0"/>
          <w:numId w:val="1133"/>
        </w:numPr>
      </w:pPr>
      <w:r>
        <w:t xml:space="preserve">(b) Parking plan required. Where the table of minimum parking requirements specifies that a Minimum Parking Plan is required, such plan shall be submitted to the applicable permitting authority. The contents of the Minimum Parking Plan shall include, as applicable:</w:t>
      </w:r>
    </w:p>
    <w:p>
      <w:pPr>
        <w:pStyle w:val="Compact"/>
        <w:numPr>
          <w:ilvl w:val="1"/>
          <w:numId w:val="1134"/>
        </w:numPr>
      </w:pPr>
      <w:r>
        <w:t xml:space="preserve">(1) The overall number of parking spaces proposed for each use. Where there is more than one use, the aggregate number of spaces shall also be provided.</w:t>
      </w:r>
    </w:p>
    <w:p>
      <w:pPr>
        <w:pStyle w:val="Compact"/>
        <w:numPr>
          <w:ilvl w:val="1"/>
          <w:numId w:val="1134"/>
        </w:numPr>
      </w:pPr>
      <w:r>
        <w:t xml:space="preserve">(2) A description and quantification of anticipated peak parking demand based upon the anticipated employee demand, customer service demand, and any other visitation to the proposed use(s).</w:t>
      </w:r>
    </w:p>
    <w:p>
      <w:pPr>
        <w:pStyle w:val="Compact"/>
        <w:numPr>
          <w:ilvl w:val="1"/>
          <w:numId w:val="1134"/>
        </w:numPr>
      </w:pPr>
      <w:r>
        <w:t xml:space="preserve">(3) A description of any other factors that may reduce or otherwise affect parking demand including, but not limited to, proximity to transit and employee incentive programs designed to reduce automobile trip generation.</w:t>
      </w:r>
    </w:p>
    <w:bookmarkEnd w:id="132"/>
    <w:bookmarkStart w:id="133" w:name="off-street-loading-requirements"/>
    <w:p>
      <w:pPr>
        <w:pStyle w:val="Heading2"/>
      </w:pPr>
      <w:r>
        <w:t xml:space="preserve">§ 14-4. Off-street loading requirements</w:t>
      </w:r>
    </w:p>
    <w:p>
      <w:pPr>
        <w:pStyle w:val="FirstParagraph"/>
      </w:pPr>
      <w:r>
        <w:rPr>
          <w:i/>
          <w:iCs/>
        </w:rPr>
        <w:t xml:space="preserve">[Ord. No. 08-31, 10-7-2009; amended 4-15-2026 by Ord. No. 26-03]</w:t>
      </w:r>
    </w:p>
    <w:p>
      <w:pPr>
        <w:pStyle w:val="BodyText"/>
      </w:pPr>
      <w:r>
        <w:t xml:space="preserve">No land shall be used or occupied and no structures shall be erected or used for commercial or industrial purposes unless the off-street loading spaces required herein are provided. Off-street loading spaces as specified in this article shall be provided subject to the requirements of this section for any enlargement or alteration to any such existing structure or use.</w:t>
      </w:r>
    </w:p>
    <w:p>
      <w:pPr>
        <w:pStyle w:val="Compact"/>
        <w:numPr>
          <w:ilvl w:val="0"/>
          <w:numId w:val="1135"/>
        </w:numPr>
      </w:pPr>
      <w:r>
        <w:t xml:space="preserve">(a) Location of required loading areas. Off-street loading areas are required by this article and shall be in all cases on the same lot or parcel of land as the use or structure they are intended to serve. In no case shall any required off-street loading space be part of an area used to satisfy the off-street parking requirements of this article. Each loading area shall be designed with adequate off-street area as required for parking spaces by this article. To the extent possible, loading areas shall be to the rear of any building, or shall be screened.</w:t>
      </w:r>
    </w:p>
    <w:bookmarkEnd w:id="133"/>
    <w:bookmarkStart w:id="134" w:name="loading-spaces-required"/>
    <w:p>
      <w:pPr>
        <w:pStyle w:val="Heading2"/>
      </w:pPr>
      <w:r>
        <w:t xml:space="preserve">§ 14-5. Loading spaces required</w:t>
      </w:r>
    </w:p>
    <w:p>
      <w:pPr>
        <w:pStyle w:val="FirstParagraph"/>
      </w:pPr>
      <w:r>
        <w:rPr>
          <w:i/>
          <w:iCs/>
        </w:rPr>
        <w:t xml:space="preserve">[Ord. No. 08-31, 10-7-2009; amended 4-15-2026 by Ord. No. 26-03]</w:t>
      </w:r>
    </w:p>
    <w:p>
      <w:pPr>
        <w:pStyle w:val="BodyText"/>
      </w:pPr>
      <w:r>
        <w:t xml:space="preserve">For each commercial and industrial enterprise of over 15,000 square feet of gross floor or ground area in which commodities are sold, displayed, serviced, repaired, altered or fabricated as the principal use of the enterprise, the first off-street loading space shall be required for the first 15,000 square feet of gross floor area. Thereafter, one off-street loading space shall be required for every additional 40,000 square feet of gross floor area. Each off-street loading space shall consist of the following dimensions: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Length</w:t>
            </w:r>
          </w:p>
        </w:tc>
        <w:tc>
          <w:tcPr/>
          <w:p>
            <w:pPr>
              <w:pStyle w:val="Compact"/>
              <w:jc w:val="left"/>
            </w:pPr>
            <w:r>
              <w:t xml:space="preserve">60 feet</w:t>
            </w:r>
          </w:p>
        </w:tc>
      </w:tr>
      <w:tr>
        <w:tc>
          <w:tcPr/>
          <w:p>
            <w:pPr>
              <w:pStyle w:val="Compact"/>
              <w:jc w:val="left"/>
            </w:pPr>
            <w:r>
              <w:t xml:space="preserve">Width</w:t>
            </w:r>
          </w:p>
        </w:tc>
        <w:tc>
          <w:tcPr/>
          <w:p>
            <w:pPr>
              <w:pStyle w:val="Compact"/>
              <w:jc w:val="left"/>
            </w:pPr>
            <w:r>
              <w:t xml:space="preserve">14 feet</w:t>
            </w:r>
          </w:p>
        </w:tc>
      </w:tr>
      <w:tr>
        <w:tc>
          <w:tcPr/>
          <w:p>
            <w:pPr>
              <w:pStyle w:val="Compact"/>
              <w:jc w:val="left"/>
            </w:pPr>
            <w:r>
              <w:t xml:space="preserve">Clearance</w:t>
            </w:r>
          </w:p>
        </w:tc>
        <w:tc>
          <w:tcPr/>
          <w:p>
            <w:pPr>
              <w:pStyle w:val="Compact"/>
              <w:jc w:val="left"/>
            </w:pPr>
            <w:r>
              <w:t xml:space="preserve">15 feet</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Additional off-street loading spaces shall be required by the Building Official when necessary to provide adequate area for off-street loading. Detailed plans for off-street loading space provision and use may be required before the issuance of any building permit.</w:t>
            </w:r>
          </w:p>
        </w:tc>
      </w:tr>
    </w:tbl>
    <w:bookmarkEnd w:id="134"/>
    <w:bookmarkStart w:id="135" w:name="relief-from-parking-requirements"/>
    <w:p>
      <w:pPr>
        <w:pStyle w:val="Heading2"/>
      </w:pPr>
      <w:r>
        <w:t xml:space="preserve">§ 14-6. Relief from parking requirements</w:t>
      </w:r>
    </w:p>
    <w:p>
      <w:pPr>
        <w:pStyle w:val="FirstParagraph"/>
      </w:pPr>
      <w:r>
        <w:rPr>
          <w:i/>
          <w:iCs/>
        </w:rPr>
        <w:t xml:space="preserve">[Ord. No. 08-31, 10-7-2009; amended 4-15-2026 by Ord. No. 26-03]</w:t>
      </w:r>
    </w:p>
    <w:p>
      <w:pPr>
        <w:pStyle w:val="BodyText"/>
      </w:pPr>
      <w:r>
        <w:t xml:space="preserve">The expansion or change of use of a lawfully established use of a building, structure or land that does not meet the parking requirements of this article (nonconforming by parking), is governed by § 16-8. Relief from the required number of parking and/or loading spaces in all other circumstances may be provided by the Zoning Board of Review as a dimensional variance under the provisions of Article 18 or through the Planning Board under unified development review.</w:t>
      </w:r>
    </w:p>
    <w:bookmarkEnd w:id="135"/>
    <w:bookmarkStart w:id="136" w:name="low-and-moderate-income-housing"/>
    <w:p>
      <w:pPr>
        <w:pStyle w:val="Heading1"/>
      </w:pPr>
      <w:r>
        <w:t xml:space="preserve">§ 15. Low and Moderate Income Housing</w:t>
      </w:r>
    </w:p>
    <w:bookmarkEnd w:id="136"/>
    <w:bookmarkStart w:id="137" w:name="statutory-authority-and-purpose"/>
    <w:p>
      <w:pPr>
        <w:pStyle w:val="Heading2"/>
      </w:pPr>
      <w:r>
        <w:t xml:space="preserve">§ 15-1. Statutory authority and purpose</w:t>
      </w:r>
    </w:p>
    <w:p>
      <w:pPr>
        <w:pStyle w:val="FirstParagraph"/>
      </w:pPr>
      <w:r>
        <w:rPr>
          <w:i/>
          <w:iCs/>
        </w:rPr>
        <w:t xml:space="preserve">[Ord. No. 08-31, 10-7-2009]</w:t>
      </w:r>
    </w:p>
    <w:p>
      <w:pPr>
        <w:pStyle w:val="BodyText"/>
      </w:pPr>
      <w:r>
        <w:t xml:space="preserve">In accordance with G.L. § 45-53, the Low and Moderate Income Housing Act, the purpose of this article is to provide opportunities for the establishment of low and moderate income housing for both individuals and families in the Town of Cumberland. To address the need for affordable, accessible, safe and sanitary housing for citizens of low and moderate income, this article shall serve to regulate procedures for the application of low and moderate income housing projects under the provisions of the state law, and to establish incentives for the establishment of such housing.</w:t>
      </w:r>
    </w:p>
    <w:bookmarkEnd w:id="137"/>
    <w:bookmarkStart w:id="138" w:name="affordable-housing-goals"/>
    <w:p>
      <w:pPr>
        <w:pStyle w:val="Heading2"/>
      </w:pPr>
      <w:r>
        <w:t xml:space="preserve">§ 15-2. Affordable housing goals</w:t>
      </w:r>
    </w:p>
    <w:p>
      <w:pPr>
        <w:pStyle w:val="FirstParagraph"/>
      </w:pPr>
      <w:r>
        <w:rPr>
          <w:i/>
          <w:iCs/>
        </w:rPr>
        <w:t xml:space="preserve">[Ord. No. 08-31, 10-7-2009]</w:t>
      </w:r>
    </w:p>
    <w:p>
      <w:pPr>
        <w:pStyle w:val="BodyText"/>
      </w:pPr>
      <w:r>
        <w:t xml:space="preserve">In keeping with the goals and objectives of the Town of Cumberland Comprehensive Plan, low and moderate income housing shall be provided in a manner that maintains the character of the community and is commensurate with the ability of the Town to provide good quality and cost effective services to its residents. In meeting the needs for affordable housing, priority consideration shall be given to the retrofitting of existing dwellings and the assimilation of low and moderate income housing into existing developments and neighborhoods.</w:t>
      </w:r>
    </w:p>
    <w:bookmarkEnd w:id="138"/>
    <w:bookmarkStart w:id="139" w:name="definitions-2"/>
    <w:p>
      <w:pPr>
        <w:pStyle w:val="Heading2"/>
      </w:pPr>
      <w:r>
        <w:t xml:space="preserve">§ 15-3. Definitions</w:t>
      </w:r>
    </w:p>
    <w:p>
      <w:pPr>
        <w:pStyle w:val="FirstParagraph"/>
      </w:pPr>
      <w:r>
        <w:rPr>
          <w:i/>
          <w:iCs/>
        </w:rPr>
        <w:t xml:space="preserve">[Ord. No. 08-31, 10-7-2009]</w:t>
      </w:r>
    </w:p>
    <w:p>
      <w:pPr>
        <w:pStyle w:val="BodyText"/>
      </w:pPr>
      <w:r>
        <w:t xml:space="preserve">For the purposes of this article, the following terms shall have the following meanings:</w:t>
      </w:r>
    </w:p>
    <w:p>
      <w:pPr>
        <w:pStyle w:val="Compact"/>
        <w:numPr>
          <w:ilvl w:val="0"/>
          <w:numId w:val="1136"/>
        </w:numPr>
      </w:pPr>
      <w:r>
        <w:t xml:space="preserve">(a) AFFORDABLE HOUSING — Housing that has a sales price or rental amount that, when adjusted for any federal, state or municipal government subsidy, is less than or equal to 30% of the gross household income of the low and moderate income occupants of the housing (Ref. G.L. § 42-128.8.1 (d)). Affordable housing shall include all types of year-round housing, including, but not limited to, manufactured housing, housing originally constructed for workers and their families, accessory dwelling units, housing accepting rental vouchers and/or tenant based certificates under § 8 of the U.S. Housing Act of 1937, as amended, and assisted living housing.</w:t>
      </w:r>
    </w:p>
    <w:p>
      <w:pPr>
        <w:pStyle w:val="Compact"/>
        <w:numPr>
          <w:ilvl w:val="1"/>
          <w:numId w:val="1137"/>
        </w:numPr>
      </w:pPr>
      <w:r>
        <w:t xml:space="preserve">(1) In the case of dwelling units for sale, affordable housing shall mean housing in which the principal, interest, taxes, which may be adjusted by state or local programs for property tax relief, and insurance constitute no more than 30% of the gross household income for a low or moderate income household.</w:t>
      </w:r>
    </w:p>
    <w:p>
      <w:pPr>
        <w:pStyle w:val="Compact"/>
        <w:numPr>
          <w:ilvl w:val="1"/>
          <w:numId w:val="1137"/>
        </w:numPr>
      </w:pPr>
      <w:r>
        <w:t xml:space="preserve">(2) In the case of dwelling units for rent, affordable housing shall mean housing in which the rent, heat and utilities other than telephone constitute no more than 30% of the gross annual income for a household with 80% or less of the area median income, adjusted for family size.</w:t>
      </w:r>
    </w:p>
    <w:p>
      <w:pPr>
        <w:pStyle w:val="Compact"/>
        <w:numPr>
          <w:ilvl w:val="0"/>
          <w:numId w:val="1136"/>
        </w:numPr>
      </w:pPr>
      <w:r>
        <w:t xml:space="preserve">(b) AFFORDABLE HOUSING PLAN — The component of the housing element of the comprehensive plan that is developed to meet housing needs in the Town, including that for low and moderate income residents, and is prepared in accordance with guidelines adopted by the state planning Council.</w:t>
      </w:r>
    </w:p>
    <w:p>
      <w:pPr>
        <w:pStyle w:val="Compact"/>
        <w:numPr>
          <w:ilvl w:val="0"/>
          <w:numId w:val="1136"/>
        </w:numPr>
      </w:pPr>
      <w:r>
        <w:t xml:space="preserve">(c) COMPLETED APPLICATION — A single application consisting of all forms, accompanying documents, exhibits and fees required pursuant to G.L. § 45-53, and § 15-6 of this article, submitted to request relief from the provisions of local ordinances in lieu of separate applications to the applicable local boards.</w:t>
      </w:r>
    </w:p>
    <w:p>
      <w:pPr>
        <w:pStyle w:val="Compact"/>
        <w:numPr>
          <w:ilvl w:val="0"/>
          <w:numId w:val="1136"/>
        </w:numPr>
      </w:pPr>
      <w:r>
        <w:t xml:space="preserve">(d) COMPREHENSIVE PERMIT — A single application to build low and moderate income housing in lieu of separate applications to applicable boards, in which at least 25% of the housing is proposed to be low or moderate income housing for a period of at least 30 years from initial occupancy.</w:t>
      </w:r>
    </w:p>
    <w:p>
      <w:pPr>
        <w:pStyle w:val="Compact"/>
        <w:numPr>
          <w:ilvl w:val="0"/>
          <w:numId w:val="1136"/>
        </w:numPr>
      </w:pPr>
      <w:r>
        <w:t xml:space="preserve">(e) CONSISTENT WITH LOCAL NEEDS —</w:t>
      </w:r>
    </w:p>
    <w:p>
      <w:pPr>
        <w:pStyle w:val="Compact"/>
        <w:numPr>
          <w:ilvl w:val="1"/>
          <w:numId w:val="1138"/>
        </w:numPr>
      </w:pPr>
      <w:r>
        <w:t xml:space="preserve">(1) Local zoning and land use ordinances, requirements and regulations are considered consistent with local needs if they are reasonable in view of the state needs for low and moderate income housing; consider the number of low income persons in the Town; are needed to protect the health and safety of the occupants of the proposed housing or of the residents of the Town; promote better site and building design in relation to the surroundings or preserve open spaces; and if they are applied as equally as possible to both subsidized and unsubsidized housing.</w:t>
      </w:r>
    </w:p>
    <w:p>
      <w:pPr>
        <w:pStyle w:val="Compact"/>
        <w:numPr>
          <w:ilvl w:val="1"/>
          <w:numId w:val="1138"/>
        </w:numPr>
      </w:pPr>
      <w:r>
        <w:t xml:space="preserve">(2) Local zoning or land use ordinances, requirements or regulations are deemed reasonable if:</w:t>
      </w:r>
    </w:p>
    <w:p>
      <w:pPr>
        <w:pStyle w:val="Compact"/>
        <w:numPr>
          <w:ilvl w:val="2"/>
          <w:numId w:val="1139"/>
        </w:numPr>
      </w:pPr>
      <w:r>
        <w:t xml:space="preserve">a. The number of low and moderate income housing units (defined below) are in excess of 10% of the total number of yearround housing units in Town, as calculated on an annual basis by the Rhode Island Housing and Mortgage Finance Corporation (RIHMFC); or</w:t>
      </w:r>
    </w:p>
    <w:p>
      <w:pPr>
        <w:pStyle w:val="Compact"/>
        <w:numPr>
          <w:ilvl w:val="2"/>
          <w:numId w:val="1139"/>
        </w:numPr>
      </w:pPr>
      <w:r>
        <w:t xml:space="preserve">b. The housing element of the Town comprehensive plan provides for low and moderate income housing units in excess of 10% of the yearround total housing units, and the local ordinances, requirements and regulations are in place to promulgate the plan.</w:t>
      </w:r>
    </w:p>
    <w:p>
      <w:pPr>
        <w:pStyle w:val="Compact"/>
        <w:numPr>
          <w:ilvl w:val="0"/>
          <w:numId w:val="1136"/>
        </w:numPr>
      </w:pPr>
      <w:r>
        <w:t xml:space="preserve">(f) DENIAL — The Planning Board refuses to grant a comprehensive permit, or extends the public hearing without reasonable cause.</w:t>
      </w:r>
    </w:p>
    <w:p>
      <w:pPr>
        <w:pStyle w:val="Compact"/>
        <w:numPr>
          <w:ilvl w:val="0"/>
          <w:numId w:val="1136"/>
        </w:numPr>
      </w:pPr>
      <w:r>
        <w:t xml:space="preserve">(g) INCLUSIONARY ZONING — A regulatory technique applicable to residential subdivisions and/or land development projects that requires a percentage of units within the development to be affordable to households of low and moderate income. Such inclusionary units must meet the definition of low and moderate income housing as defined in this article and in G.L. § 45-53-3.</w:t>
      </w:r>
    </w:p>
    <w:p>
      <w:pPr>
        <w:pStyle w:val="Compact"/>
        <w:numPr>
          <w:ilvl w:val="0"/>
          <w:numId w:val="1136"/>
        </w:numPr>
      </w:pPr>
      <w:r>
        <w:t xml:space="preserve">(h) LOCAL BOARD — The Planning Board, Zoning Board of Review, Building Official, zoning officer or any other boards or officials having the power of enforcing land use regulations or supervising the construction of buildings.</w:t>
      </w:r>
    </w:p>
    <w:p>
      <w:pPr>
        <w:pStyle w:val="Compact"/>
        <w:numPr>
          <w:ilvl w:val="0"/>
          <w:numId w:val="1136"/>
        </w:numPr>
      </w:pPr>
      <w:r>
        <w:t xml:space="preserve">(i) LOW AND MODERATE INCOME — Income as those terms are defined by the state or federal government program providing the subsidy for the proposed low or moderate income housing.</w:t>
      </w:r>
    </w:p>
    <w:p>
      <w:pPr>
        <w:pStyle w:val="Compact"/>
        <w:numPr>
          <w:ilvl w:val="0"/>
          <w:numId w:val="1136"/>
        </w:numPr>
      </w:pPr>
      <w:r>
        <w:t xml:space="preserve">(j) LOW OR MODERATE INCOME HOUSING — Any housing or community residence (as defined in Article 2 of this appendix):</w:t>
      </w:r>
    </w:p>
    <w:p>
      <w:pPr>
        <w:pStyle w:val="Compact"/>
        <w:numPr>
          <w:ilvl w:val="1"/>
          <w:numId w:val="1140"/>
        </w:numPr>
      </w:pPr>
      <w:r>
        <w:t xml:space="preserve">(1) Subsidized by the federal, state or municipal government under any program to assist the construction or rehabilitation of low or moderate income housing, as defined in the applicable federal or state statute, that will remain affordable for 99 years or such other period that is agreed to by the applicant and the Town, but shall not be less than 30 years from initial occupancy through a land lease and/or deed restriction, and built or operated by:</w:t>
      </w:r>
    </w:p>
    <w:p>
      <w:pPr>
        <w:pStyle w:val="Compact"/>
        <w:numPr>
          <w:ilvl w:val="2"/>
          <w:numId w:val="1141"/>
        </w:numPr>
      </w:pPr>
      <w:r>
        <w:t xml:space="preserve">a. Any public agency or nonprofit organization or limited equity housing cooperative; or</w:t>
      </w:r>
    </w:p>
    <w:p>
      <w:pPr>
        <w:pStyle w:val="Compact"/>
        <w:numPr>
          <w:ilvl w:val="2"/>
          <w:numId w:val="1141"/>
        </w:numPr>
      </w:pPr>
      <w:r>
        <w:t xml:space="preserve">b. A private developer of low or moderate income housing;</w:t>
      </w:r>
    </w:p>
    <w:p>
      <w:pPr>
        <w:pStyle w:val="Compact"/>
        <w:numPr>
          <w:ilvl w:val="1"/>
          <w:numId w:val="1140"/>
        </w:numPr>
      </w:pPr>
      <w:r>
        <w:t xml:space="preserve">(2) In which any nonresidential component of the proposed development is secondary to the overall proposal, provided the nonresidential component does not exceed that allowed under the funding source or 25% of the gross square footage of the proposed development, whichever is lower.</w:t>
      </w:r>
    </w:p>
    <w:p>
      <w:pPr>
        <w:pStyle w:val="Compact"/>
        <w:numPr>
          <w:ilvl w:val="0"/>
          <w:numId w:val="1136"/>
        </w:numPr>
      </w:pPr>
      <w:r>
        <w:t xml:space="preserve">(k) MUNICIPAL GOVERNMENT SUBSIDY — Assistance that is made available through a Town program to make housing affordable, as affordable housing is defined above. Such assistance may include, but not [be] limited to: direct financial support; waiver of fees and charges; approval of density bonuses and/or internal subsidies; and any combination of forms of assistance.</w:t>
      </w:r>
    </w:p>
    <w:p>
      <w:pPr>
        <w:pStyle w:val="Compact"/>
        <w:numPr>
          <w:ilvl w:val="0"/>
          <w:numId w:val="1136"/>
        </w:numPr>
      </w:pPr>
      <w:r>
        <w:t xml:space="preserve">(l) STATE HOUSING APPEALS BOARD — The board which hears appeals of denials or conditioned approvals from applicants filing an applications for a comprehensive permit to construct or rehabilitate low or moderate income housing under the provisions of G.L. § 45-53.</w:t>
      </w:r>
    </w:p>
    <w:p>
      <w:pPr>
        <w:pStyle w:val="Compact"/>
        <w:numPr>
          <w:ilvl w:val="0"/>
          <w:numId w:val="1136"/>
        </w:numPr>
      </w:pPr>
      <w:r>
        <w:t xml:space="preserve">(m) SUBSIDIZED HOUSING — Housing which receives any direct or indirect municipal, state or federal financial assistance which reduces the cost of the development and results in the creation of affordable housing units for low and moderate income families.</w:t>
      </w:r>
    </w:p>
    <w:bookmarkEnd w:id="139"/>
    <w:bookmarkStart w:id="140" w:name="comprehensive-permit"/>
    <w:p>
      <w:pPr>
        <w:pStyle w:val="Heading2"/>
      </w:pPr>
      <w:r>
        <w:t xml:space="preserve">§ 15-4. Comprehensive permit</w:t>
      </w:r>
    </w:p>
    <w:p>
      <w:pPr>
        <w:pStyle w:val="FirstParagraph"/>
      </w:pPr>
      <w:r>
        <w:rPr>
          <w:i/>
          <w:iCs/>
        </w:rPr>
        <w:t xml:space="preserve">[Ord. No. 08-31, 10-7-2009]</w:t>
      </w:r>
    </w:p>
    <w:p>
      <w:pPr>
        <w:pStyle w:val="BodyText"/>
      </w:pPr>
      <w:r>
        <w:t xml:space="preserve">The Cumberland Planning Board shall have the power to issue a comprehensive permit for a qualifying low and moderate income housing project submitted under the provisions of G.L. § 45-53, in lieu of separate applications to local boards who would otherwise act with respect to such project.</w:t>
      </w:r>
    </w:p>
    <w:p>
      <w:pPr>
        <w:pStyle w:val="BodyText"/>
      </w:pPr>
      <w:r>
        <w:t xml:space="preserve">The Planning Board shall have the right to attach to the comprehensive permit such reasonable conditions and requirements with respect to the site plan, building density, setbacks, height, size, shape, building materials, landscaping, drainage and parking consistent with the need to protect the health and safety of the occupants of the proposed housing and/or of the residents of the Town.</w:t>
      </w:r>
    </w:p>
    <w:bookmarkEnd w:id="140"/>
    <w:bookmarkStart w:id="141" w:name="eligible-applicants-and-projects"/>
    <w:p>
      <w:pPr>
        <w:pStyle w:val="Heading2"/>
      </w:pPr>
      <w:r>
        <w:t xml:space="preserve">§ 15-5. Eligible applicants and projects</w:t>
      </w:r>
    </w:p>
    <w:p>
      <w:pPr>
        <w:pStyle w:val="FirstParagraph"/>
      </w:pPr>
      <w:r>
        <w:rPr>
          <w:i/>
          <w:iCs/>
        </w:rPr>
        <w:t xml:space="preserve">[Ord. No. 08-31, 10-7-2009]</w:t>
      </w:r>
    </w:p>
    <w:p>
      <w:pPr>
        <w:pStyle w:val="Compact"/>
        <w:numPr>
          <w:ilvl w:val="0"/>
          <w:numId w:val="1142"/>
        </w:numPr>
      </w:pPr>
      <w:r>
        <w:t xml:space="preserve">(a) Eligible applicants. Applicants eligible to file a comprehensive permit for approval of construction or rehabilitation of low or moderate-income housing that will remain affordable for 99 years or such other period that is agreed to by the applicant and the Town, but shall not be less than 30 years from initial occupancy through a land lease and/or deed restriction, are:</w:t>
      </w:r>
    </w:p>
    <w:p>
      <w:pPr>
        <w:pStyle w:val="Compact"/>
        <w:numPr>
          <w:ilvl w:val="1"/>
          <w:numId w:val="1143"/>
        </w:numPr>
      </w:pPr>
      <w:r>
        <w:t xml:space="preserve">(1) Any public agency, nonprofit organization or limited equity housing cooperative proposing to build or rehabilitate low or moderate income housing; or</w:t>
      </w:r>
    </w:p>
    <w:p>
      <w:pPr>
        <w:pStyle w:val="Compact"/>
        <w:numPr>
          <w:ilvl w:val="1"/>
          <w:numId w:val="1143"/>
        </w:numPr>
      </w:pPr>
      <w:r>
        <w:t xml:space="preserve">(2) Any private developer proposing to build low or moderate income housing. In the case of private developers, a monitoring entity shall be identified with the capacity and the procedures in place to monitor the affordability of the project for a period of not less than 30 years from the initial occupancy, pursuant to a list of responsible monitoring entities and/or criteria for monitoring published by the R.I. Housing and Mortgage Finance Corporation.</w:t>
      </w:r>
    </w:p>
    <w:p>
      <w:pPr>
        <w:pStyle w:val="Compact"/>
        <w:numPr>
          <w:ilvl w:val="0"/>
          <w:numId w:val="1142"/>
        </w:numPr>
      </w:pPr>
      <w:r>
        <w:t xml:space="preserve">(b) Eligible projects. Projects are eligible if sponsored by an eligible entity and meet the eligibility requirements for a subsidy from the municipal, state or federal government under any program to assist the construction or rehabilitation of low and moderate income housing, and propose to set aside at least 25% of the total number of housing units as low or moderate income housing.</w:t>
      </w:r>
    </w:p>
    <w:bookmarkEnd w:id="141"/>
    <w:bookmarkStart w:id="142" w:name="application-requirements"/>
    <w:p>
      <w:pPr>
        <w:pStyle w:val="Heading2"/>
      </w:pPr>
      <w:r>
        <w:t xml:space="preserve">§ 15-6. Application requirements</w:t>
      </w:r>
    </w:p>
    <w:p>
      <w:pPr>
        <w:pStyle w:val="FirstParagraph"/>
      </w:pPr>
      <w:r>
        <w:rPr>
          <w:i/>
          <w:iCs/>
        </w:rPr>
        <w:t xml:space="preserve">[Ord. No. 08-31, 10-7-2009]</w:t>
      </w:r>
    </w:p>
    <w:p>
      <w:pPr>
        <w:pStyle w:val="Compact"/>
        <w:numPr>
          <w:ilvl w:val="0"/>
          <w:numId w:val="1144"/>
        </w:numPr>
      </w:pPr>
      <w:r>
        <w:t xml:space="preserve">(a) Pre-application conference. To assist an applicant and to determine if all requirements, including eligibility, have been met prior to submission of a comprehensive permit application, pre-application conceptual review and eligibility determination meetings shall be scheduled with the planning director. The planning director shall schedule a pre-application meeting, which may include representation from the Planning Board and other local boards, or consist of a meeting with the entire Planning Board, within 30 days of the request from the applicant.</w:t>
      </w:r>
    </w:p>
    <w:p>
      <w:pPr>
        <w:pStyle w:val="Compact"/>
        <w:numPr>
          <w:ilvl w:val="0"/>
          <w:numId w:val="1144"/>
        </w:numPr>
      </w:pPr>
      <w:r>
        <w:t xml:space="preserve">(b) Required documents. A completed application to the Planning Board for a comprehensive permit to construct a low or moderate income housing project shall be submitted to the planning department. The application shall include the submission of the following documents:</w:t>
      </w:r>
    </w:p>
    <w:p>
      <w:pPr>
        <w:pStyle w:val="Compact"/>
        <w:numPr>
          <w:ilvl w:val="1"/>
          <w:numId w:val="1145"/>
        </w:numPr>
      </w:pPr>
      <w:r>
        <w:t xml:space="preserve">(1) A completed application form as provided by the planning department which includes specific identification of all relief requested from the provisions of this appendix and the Cumberland Land Development and Subdivision Regulations (the "regulations").</w:t>
      </w:r>
    </w:p>
    <w:p>
      <w:pPr>
        <w:pStyle w:val="Compact"/>
        <w:numPr>
          <w:ilvl w:val="1"/>
          <w:numId w:val="1145"/>
        </w:numPr>
      </w:pPr>
      <w:r>
        <w:t xml:space="preserve">(2) A report addressing how the proposed project is consistent with local needs, including, but not limited to, needs identified in the affordable housing plan, the comprehensive plan, and with any local zoning and land use ordinances, requirements and regulations enacted to address affordable housing needs in Cumberland.</w:t>
      </w:r>
    </w:p>
    <w:p>
      <w:pPr>
        <w:pStyle w:val="Compact"/>
        <w:numPr>
          <w:ilvl w:val="1"/>
          <w:numId w:val="1145"/>
        </w:numPr>
      </w:pPr>
      <w:r>
        <w:t xml:space="preserve">(3) Written evidence of site control or ownership.</w:t>
      </w:r>
    </w:p>
    <w:p>
      <w:pPr>
        <w:pStyle w:val="Compact"/>
        <w:numPr>
          <w:ilvl w:val="1"/>
          <w:numId w:val="1145"/>
        </w:numPr>
      </w:pPr>
      <w:r>
        <w:t xml:space="preserve">(4) Written evidence of eligibility for a municipal, state or federal subsidy, including an application in such form as may be prescribed for a municipal government subsidy, or a letter of eligibility issued by the R.I. Housing Mortgage Finance Corporation, or in the case of projects primarily funded by the U.S. Department of Housing and Urban Development or other state or federal agencies, an award letter indicating the subsidy, as well as a timetable for the expected availability of the funding.</w:t>
      </w:r>
    </w:p>
    <w:p>
      <w:pPr>
        <w:pStyle w:val="Compact"/>
        <w:numPr>
          <w:ilvl w:val="1"/>
          <w:numId w:val="1145"/>
        </w:numPr>
      </w:pPr>
      <w:r>
        <w:t xml:space="preserve">(5) Written evidence of incorporation and/or nonprofit status of the applicant and operator of the facility, as applicable.</w:t>
      </w:r>
    </w:p>
    <w:p>
      <w:pPr>
        <w:pStyle w:val="Compact"/>
        <w:numPr>
          <w:ilvl w:val="1"/>
          <w:numId w:val="1145"/>
        </w:numPr>
      </w:pPr>
      <w:r>
        <w:t xml:space="preserve">(6) Written evidence of a monitoring agency with the capacity and the procedures in place to monitor the affordability of the project for a period of not less than 30 years from the initial occupancy, as applicable.</w:t>
      </w:r>
    </w:p>
    <w:p>
      <w:pPr>
        <w:pStyle w:val="Compact"/>
        <w:numPr>
          <w:ilvl w:val="1"/>
          <w:numId w:val="1145"/>
        </w:numPr>
      </w:pPr>
      <w:r>
        <w:t xml:space="preserve">(7) Proposed rental rates or sales prices to be charged for all housing units in the proposed development.</w:t>
      </w:r>
    </w:p>
    <w:p>
      <w:pPr>
        <w:pStyle w:val="Compact"/>
        <w:numPr>
          <w:ilvl w:val="1"/>
          <w:numId w:val="1145"/>
        </w:numPr>
      </w:pPr>
      <w:r>
        <w:t xml:space="preserve">(8) A sample land lease or deed restriction with affordability liens that will restrict use of the housing units as low or moderate income housing in conformance with the guidelines of the agency providing the subsidy, but for a period of not less than 30 years.</w:t>
      </w:r>
    </w:p>
    <w:p>
      <w:pPr>
        <w:pStyle w:val="Compact"/>
        <w:numPr>
          <w:ilvl w:val="1"/>
          <w:numId w:val="1145"/>
        </w:numPr>
      </w:pPr>
      <w:r>
        <w:t xml:space="preserve">(9) A financial pro-forma for the proposed development.</w:t>
      </w:r>
    </w:p>
    <w:p>
      <w:pPr>
        <w:pStyle w:val="Compact"/>
        <w:numPr>
          <w:ilvl w:val="1"/>
          <w:numId w:val="1145"/>
        </w:numPr>
      </w:pPr>
      <w:r>
        <w:t xml:space="preserve">(10) A proposed time table for the commencement of construction and completion of the project.</w:t>
      </w:r>
    </w:p>
    <w:p>
      <w:pPr>
        <w:pStyle w:val="Compact"/>
        <w:numPr>
          <w:ilvl w:val="0"/>
          <w:numId w:val="1144"/>
        </w:numPr>
      </w:pPr>
      <w:r>
        <w:t xml:space="preserve">(c) Required plans. A completed application for a comprehensive permit to construct a low or moderate income housing project shall also include the following plans and supporting materials:</w:t>
      </w:r>
    </w:p>
    <w:p>
      <w:pPr>
        <w:pStyle w:val="Compact"/>
        <w:numPr>
          <w:ilvl w:val="1"/>
          <w:numId w:val="1146"/>
        </w:numPr>
      </w:pPr>
      <w:r>
        <w:t xml:space="preserve">(1) For a comprehensive permit involving a minor land development or minor subdivision, those plans and materials as required in the regulations for a preliminary plan, with the exception of state or federal permits. For a comprehensive permit involving a major land development or major subdivision, plans and materials as required in the regulations for a master plan submission, including landscaping/tree preservation, grading, soil erosion and sedimentation control, and drainage plans stamped by the appropriate professional. (See checklists contained in the regulations).</w:t>
      </w:r>
    </w:p>
    <w:p>
      <w:pPr>
        <w:pStyle w:val="Compact"/>
        <w:numPr>
          <w:ilvl w:val="1"/>
          <w:numId w:val="1146"/>
        </w:numPr>
      </w:pPr>
      <w:r>
        <w:t xml:space="preserve">(2) Scaled architectural drawings including floor plans of typical units, typical elevations and sections, identifying construction type and exterior finish materials, signed and certified in accordance with the state building code.</w:t>
      </w:r>
    </w:p>
    <w:p>
      <w:pPr>
        <w:pStyle w:val="Compact"/>
        <w:numPr>
          <w:ilvl w:val="1"/>
          <w:numId w:val="1146"/>
        </w:numPr>
      </w:pPr>
      <w:r>
        <w:t xml:space="preserve">(3) A tabulation of proposed buildings by type and size (number of bedrooms and floor area), building lot coverage (total footprint) and percentage of total parcel to be occupied by buildings and paved areas, as well as identification of permanent open space areas.</w:t>
      </w:r>
    </w:p>
    <w:p>
      <w:pPr>
        <w:pStyle w:val="Compact"/>
        <w:numPr>
          <w:ilvl w:val="1"/>
          <w:numId w:val="1146"/>
        </w:numPr>
      </w:pPr>
      <w:r>
        <w:t xml:space="preserve">(4) Signage plan, including any entrance signage, street name signs and private development signs, if applicable.</w:t>
      </w:r>
    </w:p>
    <w:p>
      <w:pPr>
        <w:pStyle w:val="Compact"/>
        <w:numPr>
          <w:ilvl w:val="1"/>
          <w:numId w:val="1146"/>
        </w:numPr>
      </w:pPr>
      <w:r>
        <w:t xml:space="preserve">(5) Lighting plan, including frequency, style and intensity of proposed street and parking lot lighting and exterior building lighting.</w:t>
      </w:r>
    </w:p>
    <w:p>
      <w:pPr>
        <w:pStyle w:val="Compact"/>
        <w:numPr>
          <w:ilvl w:val="0"/>
          <w:numId w:val="1144"/>
        </w:numPr>
      </w:pPr>
      <w:r>
        <w:t xml:space="preserve">(d) Required fees. The applicant shall also submit the filing fee as listed in the current fee schedule for the Town as adopted by the Town Council. In addition to the filing fee, the applicant shall be responsible for all administrative costs incurred by the Town, including legal advertisement and stenographic services. The applicant may also be assessed a project review fee to allow the Town to offset the costs of professional and expert review of the proposed development, provided however, such fee shall not exceed the actual costs incurred by the Town.</w:t>
      </w:r>
    </w:p>
    <w:p>
      <w:pPr>
        <w:pStyle w:val="Compact"/>
        <w:numPr>
          <w:ilvl w:val="0"/>
          <w:numId w:val="1144"/>
        </w:numPr>
      </w:pPr>
      <w:r>
        <w:t xml:space="preserve">(e) Completeness of application. For an application involving a minor land development or minor subdivision, the planning director shall certify it as either complete or incomplete within the time periods as contained in the regulations. For an application involving a major land development or major subdivision, however, the planning director shall certify the master plan application within 30 days, and the preliminary plan application (see below) within 45 days of the receipt of submitted plans and materials. Incomplete applications shall be returned to the applicant or its authorized agent with instructions for completion. The time period will be deemed stopped upon the issuance of a certificate of incompleteness and will recommence upon the resubmission of a corrected application; however the planning director shall have no less than 14 days from the date of its resubmission to certify a corrected application as complete or incomplete.</w:t>
      </w:r>
    </w:p>
    <w:p>
      <w:pPr>
        <w:pStyle w:val="Compact"/>
        <w:numPr>
          <w:ilvl w:val="0"/>
          <w:numId w:val="1144"/>
        </w:numPr>
      </w:pPr>
      <w:r>
        <w:t xml:space="preserve">(f) Other requirements. Notwithstanding the submission requirements set forth in this section, the Planning Board may request additional reasonable documentation throughout the public hearing (see below), including opinions or statements from other local boards, or from outside experts.</w:t>
      </w:r>
    </w:p>
    <w:bookmarkEnd w:id="142"/>
    <w:bookmarkStart w:id="143" w:name="review-procedures"/>
    <w:p>
      <w:pPr>
        <w:pStyle w:val="Heading2"/>
      </w:pPr>
      <w:r>
        <w:t xml:space="preserve">§ 15-7. Review procedures</w:t>
      </w:r>
    </w:p>
    <w:p>
      <w:pPr>
        <w:pStyle w:val="FirstParagraph"/>
      </w:pPr>
      <w:r>
        <w:rPr>
          <w:i/>
          <w:iCs/>
        </w:rPr>
        <w:t xml:space="preserve">[Ord. No. 08-31, 10-7-2009]</w:t>
      </w:r>
    </w:p>
    <w:p>
      <w:pPr>
        <w:pStyle w:val="Compact"/>
        <w:numPr>
          <w:ilvl w:val="0"/>
          <w:numId w:val="1147"/>
        </w:numPr>
      </w:pPr>
      <w:r>
        <w:t xml:space="preserve">(a) Public hearing required. The Planning Board shall hold a public hearing on the master plan with public notice of such hearing given at least 14 days prior to the date of the hearing in a newspaper of general circulation in the Town, and notice sent by mail to all parties entitled in accordance with § 5G.2 of the regulations. The cost of public notice and mailings shall be borne by the applicant.</w:t>
      </w:r>
    </w:p>
    <w:p>
      <w:pPr>
        <w:pStyle w:val="Compact"/>
        <w:numPr>
          <w:ilvl w:val="0"/>
          <w:numId w:val="1147"/>
        </w:numPr>
      </w:pPr>
      <w:r>
        <w:t xml:space="preserve">(b) Timetable for decision. For a comprehensive permit involving a minor land development or minor subdivision, the Planning Board shall, within 30 days of the issuance of a certificate of completeness, hold a public hearing, and within 95 days of the issuance of a certificate of completeness, render a decision. For a comprehensive permit involving a major land development or major subdivision, the Planning Board shall, within 120 days of the issuance of the certificate of completeness, or within such further time as may be agreed to by the board and the applicant, render a decision.</w:t>
      </w:r>
    </w:p>
    <w:p>
      <w:pPr>
        <w:pStyle w:val="Compact"/>
        <w:numPr>
          <w:ilvl w:val="0"/>
          <w:numId w:val="1147"/>
        </w:numPr>
      </w:pPr>
      <w:r>
        <w:t xml:space="preserve">(c) Preliminary and final review. The preliminary and final review phases of a comprehensive permit application shall be conducted according to the submittal requirements and timetables contained in the appropriate sections of the regulations, except as noted above. Evidence of all necessary state and federal permits shall not be required until prior to final approval or the issuance of a building permit.</w:t>
      </w:r>
    </w:p>
    <w:bookmarkEnd w:id="143"/>
    <w:bookmarkStart w:id="144" w:name="decision-of-the-planning-board"/>
    <w:p>
      <w:pPr>
        <w:pStyle w:val="Heading2"/>
      </w:pPr>
      <w:r>
        <w:t xml:space="preserve">§ 15-8. Decision of the Planning Board</w:t>
      </w:r>
    </w:p>
    <w:p>
      <w:pPr>
        <w:pStyle w:val="FirstParagraph"/>
      </w:pPr>
      <w:r>
        <w:rPr>
          <w:i/>
          <w:iCs/>
        </w:rPr>
        <w:t xml:space="preserve">[Ord. No. 08-31, 10-7-2009]</w:t>
      </w:r>
    </w:p>
    <w:p>
      <w:pPr>
        <w:pStyle w:val="Compact"/>
        <w:numPr>
          <w:ilvl w:val="0"/>
          <w:numId w:val="1148"/>
        </w:numPr>
      </w:pPr>
      <w:r>
        <w:t xml:space="preserve">(a) Planning Board actions. In rendering a decision, the Planning Board may take the following actions:</w:t>
      </w:r>
    </w:p>
    <w:p>
      <w:pPr>
        <w:pStyle w:val="Compact"/>
        <w:numPr>
          <w:ilvl w:val="1"/>
          <w:numId w:val="1149"/>
        </w:numPr>
      </w:pPr>
      <w:r>
        <w:t xml:space="preserve">(1) Approve a comprehensive permit on the terms and conditions set forth in the application.</w:t>
      </w:r>
    </w:p>
    <w:p>
      <w:pPr>
        <w:pStyle w:val="Compact"/>
        <w:numPr>
          <w:ilvl w:val="1"/>
          <w:numId w:val="1149"/>
        </w:numPr>
      </w:pPr>
      <w:r>
        <w:t xml:space="preserve">(2) Approve a comprehensive permit with conditions with respect, but not limited to, the site plan, building density, setbacks, height, size, shape, building materials, landscaping, drainage and parking, in a manner that does not render the construction or operation of such housing infeasible.</w:t>
      </w:r>
    </w:p>
    <w:p>
      <w:pPr>
        <w:pStyle w:val="Compact"/>
        <w:numPr>
          <w:ilvl w:val="1"/>
          <w:numId w:val="1149"/>
        </w:numPr>
      </w:pPr>
      <w:r>
        <w:t xml:space="preserve">(3) Deny a comprehensive permit only if the project is inconsistent with local needs, including, but not limited to:</w:t>
      </w:r>
    </w:p>
    <w:p>
      <w:pPr>
        <w:pStyle w:val="Compact"/>
        <w:numPr>
          <w:ilvl w:val="2"/>
          <w:numId w:val="1150"/>
        </w:numPr>
      </w:pPr>
      <w:r>
        <w:t xml:space="preserve">a. The project is not in conformance with the Town comprehensive plan;</w:t>
      </w:r>
    </w:p>
    <w:p>
      <w:pPr>
        <w:pStyle w:val="Compact"/>
        <w:numPr>
          <w:ilvl w:val="2"/>
          <w:numId w:val="1150"/>
        </w:numPr>
      </w:pPr>
      <w:r>
        <w:t xml:space="preserve">b. The project is not in conformance with the affordable housing plan in the approved comprehensive plan, or with local zoning ordinances and procedures promulgated in conformance with the comprehensive plan;</w:t>
      </w:r>
    </w:p>
    <w:p>
      <w:pPr>
        <w:pStyle w:val="Compact"/>
        <w:numPr>
          <w:ilvl w:val="2"/>
          <w:numId w:val="1150"/>
        </w:numPr>
      </w:pPr>
      <w:r>
        <w:t xml:space="preserve">c. The Town has low and moderate income housing units in excess of 10% of the total yearround housing units, or has a plan for meeting this standard and the local ordinances, requirements and regulations to implement the plan; or</w:t>
      </w:r>
    </w:p>
    <w:p>
      <w:pPr>
        <w:pStyle w:val="Compact"/>
        <w:numPr>
          <w:ilvl w:val="2"/>
          <w:numId w:val="1150"/>
        </w:numPr>
      </w:pPr>
      <w:r>
        <w:t xml:space="preserve">d. The concerns for the environment and the health and safety of the occupants of the proposed housing or of the current residents of the Town have not been adequately addressed.</w:t>
      </w:r>
    </w:p>
    <w:p>
      <w:pPr>
        <w:pStyle w:val="Compact"/>
        <w:numPr>
          <w:ilvl w:val="0"/>
          <w:numId w:val="1148"/>
        </w:numPr>
      </w:pPr>
      <w:r>
        <w:t xml:space="preserve">(b) Positive findings. In taking final action on an application, the Planning Board shall make positive findings, supported by legally competent evidence on the record, on each of the following:</w:t>
      </w:r>
    </w:p>
    <w:p>
      <w:pPr>
        <w:pStyle w:val="Compact"/>
        <w:numPr>
          <w:ilvl w:val="1"/>
          <w:numId w:val="1151"/>
        </w:numPr>
      </w:pPr>
      <w:r>
        <w:t xml:space="preserve">(1) The proposed development is consistent with local needs as identified in the comprehensive plan, particularly the affordable housing plan;</w:t>
      </w:r>
    </w:p>
    <w:p>
      <w:pPr>
        <w:pStyle w:val="Compact"/>
        <w:numPr>
          <w:ilvl w:val="1"/>
          <w:numId w:val="1151"/>
        </w:numPr>
      </w:pPr>
      <w:r>
        <w:t xml:space="preserve">(2) The proposed development is in compliance with the standards and provisions of the Town's zoning ordinance and subdivision regulations, and/or where expressly varied or waived, local concerns that have been affected by the relief granted do not outweigh the state and local need for low and moderate income housing;</w:t>
      </w:r>
    </w:p>
    <w:p>
      <w:pPr>
        <w:pStyle w:val="Compact"/>
        <w:numPr>
          <w:ilvl w:val="1"/>
          <w:numId w:val="1151"/>
        </w:numPr>
      </w:pPr>
      <w:r>
        <w:t xml:space="preserve">(3) All low and moderate income housing proposed are integrated throughout the development, are similar in scale and architectural style to the market rate units within the project; and will be built and occupied prior to, or simultaneous with, the construction and occupation of the market rate units;</w:t>
      </w:r>
    </w:p>
    <w:p>
      <w:pPr>
        <w:pStyle w:val="Compact"/>
        <w:numPr>
          <w:ilvl w:val="1"/>
          <w:numId w:val="1151"/>
        </w:numPr>
      </w:pPr>
      <w:r>
        <w:t xml:space="preserve">(4) There will be no significant negative environmental impacts from the proposed development as shown on the final plan, with all conditions for approval;</w:t>
      </w:r>
    </w:p>
    <w:p>
      <w:pPr>
        <w:pStyle w:val="Compact"/>
        <w:numPr>
          <w:ilvl w:val="1"/>
          <w:numId w:val="1151"/>
        </w:numPr>
      </w:pPr>
      <w:r>
        <w:t xml:space="preserve">(5) There will be no significant negative impacts on the health and safety of current or future residents of the community, in areas including, but not limited to, safe circulation, provision of emergency services, sewerage disposal, availability of potable water, adequate surface water runoff, and the preservation of natural, historical or cultural features that contribute to the attractiveness of the community; and</w:t>
      </w:r>
    </w:p>
    <w:p>
      <w:pPr>
        <w:pStyle w:val="Compact"/>
        <w:numPr>
          <w:ilvl w:val="1"/>
          <w:numId w:val="1151"/>
        </w:numPr>
      </w:pPr>
      <w:r>
        <w:t xml:space="preserve">(6) The proposed development will not result in the creation of individual lots with any physical constraints to development that building on those lots would be impracticable.</w:t>
      </w:r>
    </w:p>
    <w:p>
      <w:pPr>
        <w:pStyle w:val="Compact"/>
        <w:numPr>
          <w:ilvl w:val="0"/>
          <w:numId w:val="1148"/>
        </w:numPr>
      </w:pPr>
      <w:r>
        <w:t xml:space="preserve">(c) Recording of decision. All decisions shall be recorded in the land evidence records of the Town of Cumberland. If the comprehensive permit is for a major or minor land development plan or a major or minor subdivision, any decision must also be signed and recorded in accordance with § 3K of the regulations.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No building permit shall be issued by the Building Official for any unit in the proposed development until written evidence has been provided by the developer that the project has received approval for the appropriate municipal, state or federal subsidy.</w:t>
            </w:r>
          </w:p>
        </w:tc>
      </w:tr>
    </w:tbl>
    <w:bookmarkEnd w:id="144"/>
    <w:bookmarkStart w:id="145" w:name="appeals"/>
    <w:p>
      <w:pPr>
        <w:pStyle w:val="Heading2"/>
      </w:pPr>
      <w:r>
        <w:t xml:space="preserve">§ 15-9. Appeals</w:t>
      </w:r>
    </w:p>
    <w:p>
      <w:pPr>
        <w:pStyle w:val="FirstParagraph"/>
      </w:pPr>
      <w:r>
        <w:rPr>
          <w:i/>
          <w:iCs/>
        </w:rPr>
        <w:t xml:space="preserve">[Ord. No. 08-31, 10-7-2009]</w:t>
      </w:r>
    </w:p>
    <w:p>
      <w:pPr>
        <w:pStyle w:val="Compact"/>
        <w:numPr>
          <w:ilvl w:val="0"/>
          <w:numId w:val="1152"/>
        </w:numPr>
      </w:pPr>
      <w:r>
        <w:t xml:space="preserve">(a) Appeal of approval. Any person aggrieved by an approval of a comprehensive permit for the construction of a low or moderate income housing project may appeal to the superior court within 20 days of the issuance of the approval.</w:t>
      </w:r>
    </w:p>
    <w:p>
      <w:pPr>
        <w:pStyle w:val="Compact"/>
        <w:numPr>
          <w:ilvl w:val="0"/>
          <w:numId w:val="1152"/>
        </w:numPr>
      </w:pPr>
      <w:r>
        <w:t xml:space="preserve">(b) Appeal of denial. An appeal of a denial of a comprehensive permit, or the granting of a permit with conditions or requirements that make the building or operation of the housing project infeasible, may be filed with the state housing appeals board, pursuant to the provisions for an appeal as set forth in G.L. § 45-53.</w:t>
      </w:r>
    </w:p>
    <w:p>
      <w:pPr>
        <w:pStyle w:val="Compact"/>
        <w:numPr>
          <w:ilvl w:val="1"/>
          <w:numId w:val="1153"/>
        </w:numPr>
      </w:pPr>
      <w:r>
        <w:t xml:space="preserve">(1) The state housing appeals board shall forthwith notify the Planning Board and all persons entitled to notice of the filing of the appeal, and the Planning Board shall post the notice of appeal in the Cumberland Town Hall for a period of not less than 10 days.</w:t>
      </w:r>
    </w:p>
    <w:p>
      <w:pPr>
        <w:pStyle w:val="Compact"/>
        <w:numPr>
          <w:ilvl w:val="1"/>
          <w:numId w:val="1153"/>
        </w:numPr>
      </w:pPr>
      <w:r>
        <w:t xml:space="preserve">(2) The Planning Board, shall, within 10 days of the receipt of such notice, transmit to the appeals board a transcript describing its decisions, the reason for the decision, who was present and a record of their vote, and the findings of fact.</w:t>
      </w:r>
    </w:p>
    <w:bookmarkEnd w:id="145"/>
    <w:bookmarkStart w:id="146" w:name="expiration-of-a-comprehensive-permit"/>
    <w:p>
      <w:pPr>
        <w:pStyle w:val="Heading2"/>
      </w:pPr>
      <w:r>
        <w:t xml:space="preserve">§ 15-10. Expiration of a comprehensive permit</w:t>
      </w:r>
    </w:p>
    <w:p>
      <w:pPr>
        <w:pStyle w:val="FirstParagraph"/>
      </w:pPr>
      <w:r>
        <w:rPr>
          <w:i/>
          <w:iCs/>
        </w:rPr>
        <w:t xml:space="preserve">[Ord. No. 08-31, 10-7-2009]</w:t>
      </w:r>
    </w:p>
    <w:p>
      <w:pPr>
        <w:pStyle w:val="BodyText"/>
      </w:pPr>
      <w:r>
        <w:t xml:space="preserve">A comprehensive permit shall expire unless construction is started within 12 months and completed within 60 months of final plan approval, unless a longer and/or phased period of development is agreed to by the Planning Board and the applicant. Low and moderate income housing units shall be built and occupied prior to, or simultaneous with, the construction and occupancy of market rate units.</w:t>
      </w:r>
    </w:p>
    <w:bookmarkEnd w:id="146"/>
    <w:bookmarkStart w:id="147" w:name="X7a3a4f0c8db8029e794e1da1d9ce1e59d278b53"/>
    <w:p>
      <w:pPr>
        <w:pStyle w:val="Heading2"/>
      </w:pPr>
      <w:r>
        <w:t xml:space="preserve">§ 15-11. Limitations on applications from private developers</w:t>
      </w:r>
    </w:p>
    <w:p>
      <w:pPr>
        <w:pStyle w:val="FirstParagraph"/>
      </w:pPr>
      <w:r>
        <w:rPr>
          <w:i/>
          <w:iCs/>
        </w:rPr>
        <w:t xml:space="preserve">[Ord. No. 08-31, 10-7-2009]</w:t>
      </w:r>
    </w:p>
    <w:p>
      <w:pPr>
        <w:pStyle w:val="BodyText"/>
      </w:pPr>
      <w:r>
        <w:t xml:space="preserve">Notwithstanding the timetables set forth in other sections of this article, the Planning Board shall have the authority to consider comprehensive permit applications from private for-profit developers sequentially in the order in which they are submitted. In addition, the Planning Board may limit the annual total number of dwelling units in comprehensive permit applications from for-profit developers to an aggregate of 1% of the total number of yearround housing units in the Town, as recognized in the approved affordable housing plan. In exercising this option, the Town must be in compliance with the implementation requirements of the affordable housing plan, according to the most recent report of the R.I. Housing Resources Commission.</w:t>
      </w:r>
    </w:p>
    <w:bookmarkEnd w:id="147"/>
    <w:bookmarkStart w:id="148" w:name="inclusionary-zoning"/>
    <w:p>
      <w:pPr>
        <w:pStyle w:val="Heading2"/>
      </w:pPr>
      <w:r>
        <w:t xml:space="preserve">§ 15-12. Inclusionary zoning</w:t>
      </w:r>
    </w:p>
    <w:p>
      <w:pPr>
        <w:pStyle w:val="FirstParagraph"/>
      </w:pPr>
      <w:r>
        <w:rPr>
          <w:i/>
          <w:iCs/>
        </w:rPr>
        <w:t xml:space="preserve">[Ord. No. 08-31, 10-7-2009]</w:t>
      </w:r>
    </w:p>
    <w:p>
      <w:pPr>
        <w:pStyle w:val="BodyText"/>
      </w:pPr>
      <w:r>
        <w:t xml:space="preserve">(Reserved)</w:t>
      </w:r>
    </w:p>
    <w:bookmarkEnd w:id="148"/>
    <w:bookmarkStart w:id="149" w:name="nonconformance"/>
    <w:p>
      <w:pPr>
        <w:pStyle w:val="Heading1"/>
      </w:pPr>
      <w:r>
        <w:t xml:space="preserve">§ 16. Nonconformance</w:t>
      </w:r>
    </w:p>
    <w:bookmarkEnd w:id="149"/>
    <w:bookmarkStart w:id="150" w:name="nonconformance-1"/>
    <w:p>
      <w:pPr>
        <w:pStyle w:val="Heading2"/>
      </w:pPr>
      <w:r>
        <w:t xml:space="preserve">§ 16-1. Nonconformance</w:t>
      </w:r>
    </w:p>
    <w:p>
      <w:pPr>
        <w:pStyle w:val="FirstParagraph"/>
      </w:pPr>
      <w:r>
        <w:rPr>
          <w:i/>
          <w:iCs/>
        </w:rPr>
        <w:t xml:space="preserve">[Ord. No. 08-31, 10-7-2009]</w:t>
      </w:r>
    </w:p>
    <w:p>
      <w:pPr>
        <w:pStyle w:val="BodyText"/>
      </w:pPr>
      <w:r>
        <w:t xml:space="preserve">A nonconformance is a building, structure (including a sign), or parcel of land, or use thereof, which was lawfully existing at the time of the adoption or amendment of this zoning ordinance, and not in conformity with the provisions of this appendix or amendment.</w:t>
      </w:r>
    </w:p>
    <w:p>
      <w:pPr>
        <w:pStyle w:val="BodyText"/>
      </w:pPr>
      <w:r>
        <w:t xml:space="preserve">Such nonconformance is incompatible with and detrimental to permitted uses in the zoning district in which it is located. Nonconformance causes disruption of the comprehensive land use pattern of the Town, inhibits present and future development of nearby properties, and confers upon its owner a position of unfair advantage. It is intended that existing nonconformance shall not justify further departures from this appendix for itself, or for any other properties.</w:t>
      </w:r>
    </w:p>
    <w:p>
      <w:pPr>
        <w:pStyle w:val="Compact"/>
        <w:numPr>
          <w:ilvl w:val="0"/>
          <w:numId w:val="1154"/>
        </w:numPr>
      </w:pPr>
      <w:r>
        <w:t xml:space="preserve">(a) Nonconforming by use. A lawfully established use of building, structure or land, which is not a permitted use, either by right or by special use permit, in the zoning district in which it is located, as set forth in Article 4, is nonconforming by use.</w:t>
      </w:r>
    </w:p>
    <w:p>
      <w:pPr>
        <w:pStyle w:val="Compact"/>
        <w:numPr>
          <w:ilvl w:val="0"/>
          <w:numId w:val="1154"/>
        </w:numPr>
      </w:pPr>
      <w:r>
        <w:t xml:space="preserve">(b) Nonconforming by dimension. A lawfully established building, structure or parcel of land not in compliance with the dimensional regulations of this appendix is nonconforming by dimension. Dimensional regulations include all regulations of this appendix other than those pertaining to the permitted uses. A lawfully established building, structure, parcel of land, or use thereof, not in compliance with the parking regulations of this appendix, as set forth in Article 8 is also nonconforming by dimension. A lawfully existing or lawfully established lot that is not in compliance with the dimensional regulations of the zoning ordinance, including, but not limited to, those regulations for minimum lot size, lot width and lot frontage (also known as a substandard lot of record), is also nonconforming by dimension.</w:t>
      </w:r>
    </w:p>
    <w:p>
      <w:pPr>
        <w:pStyle w:val="Compact"/>
        <w:numPr>
          <w:ilvl w:val="0"/>
          <w:numId w:val="1154"/>
        </w:numPr>
      </w:pPr>
      <w:r>
        <w:t xml:space="preserve">(c) Nonconforming by dwelling units. A building or structure containing more dwelling units than are permitted by the use regulations of this appendix shall be nonconforming by use. A building or structure containing a permitted number of dwelling units by the use regulations of this appendix, but not meeting the lot area per dwelling unit regulations, shall be nonconforming by dimension.</w:t>
      </w:r>
    </w:p>
    <w:p>
      <w:pPr>
        <w:pStyle w:val="Compact"/>
        <w:numPr>
          <w:ilvl w:val="0"/>
          <w:numId w:val="1154"/>
        </w:numPr>
      </w:pPr>
      <w:r>
        <w:t xml:space="preserve">(d) Most restrictive regulations to apply. A building, structure or parcel of land nonconforming by more than one factor, such as by use, dimension, area or parking, shall comply with all regulations of this article. Where the regulations conflict, the most restrictive regulations shall apply.</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It is also the intent of this article to address nonconforming uses in agricultural and residential zones in a stricter fashion than nonconforming uses located in commercial and industrial zones. Due to the disruption which nonconforming uses cause to the peace and tranquility of an agricultural or residential zone, nonconforming uses therein should be eventually abolished or reduced to total conformity over time.</w:t>
            </w:r>
          </w:p>
        </w:tc>
      </w:tr>
    </w:tbl>
    <w:bookmarkEnd w:id="150"/>
    <w:bookmarkStart w:id="151" w:name="lawfully-existing-or-established"/>
    <w:p>
      <w:pPr>
        <w:pStyle w:val="Heading2"/>
      </w:pPr>
      <w:r>
        <w:t xml:space="preserve">§ 16-2. Lawfully existing or established</w:t>
      </w:r>
    </w:p>
    <w:p>
      <w:pPr>
        <w:pStyle w:val="FirstParagraph"/>
      </w:pPr>
      <w:r>
        <w:rPr>
          <w:i/>
          <w:iCs/>
        </w:rPr>
        <w:t xml:space="preserve">[Ord. No. 08-31, 10-7-2009]</w:t>
      </w:r>
    </w:p>
    <w:p>
      <w:pPr>
        <w:pStyle w:val="BodyText"/>
      </w:pPr>
      <w:r>
        <w:t xml:space="preserve">A building, structure or the use of land is lawfully established if it was in existence prior to May 22, 1952, or was established in conformance with the zoning ordinance in effect at the time the use was first established the effective date of the adoption or amendment of this appendix which rendered such building, structure or use of land nonconforming. A lot is lawfully established if it was of record or shown on a recorded plat prior to December 13, 1962, or the effective date of the adoption or amendment of this appendix which rendered such lot nonconforming, and was separately owned. All other lots that were not lawfully established are not protected by this section. For the purposes of this appendix, the creation and/or the use of a parcel of land for a particular use which was legal at the time the parcel of land was created and/or so used, shall not serve to create the lawful establishment or lawful existence of any use that was not legal at the time of creation and/or use of the land, regardless of subsequent changes in allowable legal uses.</w:t>
      </w:r>
    </w:p>
    <w:bookmarkEnd w:id="151"/>
    <w:bookmarkStart w:id="152" w:name="Xee944eb7111db9b60a1530797760c7fe30bd15c"/>
    <w:p>
      <w:pPr>
        <w:pStyle w:val="Heading2"/>
      </w:pPr>
      <w:r>
        <w:t xml:space="preserve">§ 16-3. Existence by variance or special use permit</w:t>
      </w:r>
    </w:p>
    <w:p>
      <w:pPr>
        <w:pStyle w:val="FirstParagraph"/>
      </w:pPr>
      <w:r>
        <w:rPr>
          <w:i/>
          <w:iCs/>
        </w:rPr>
        <w:t xml:space="preserve">[Ord. No. 08-31, 10-7-2009]</w:t>
      </w:r>
    </w:p>
    <w:p>
      <w:pPr>
        <w:pStyle w:val="BodyText"/>
      </w:pPr>
      <w:r>
        <w:t xml:space="preserve">A nonconforming building, structure, sign, or parcel of land or the use thereof, which exists by virtue of a variance or a special use permit (or a special exception) granted by the Zoning Board of Review, shall not be considered a nonconformance for the purposes of this article, and shall not acquire the rights of this article.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appendix, shall require a further variance or special use permit from the board.</w:t>
      </w:r>
    </w:p>
    <w:bookmarkEnd w:id="152"/>
    <w:bookmarkStart w:id="153" w:name="X21ad8181e54066631b3aa44a0fa788c0d8818a7"/>
    <w:p>
      <w:pPr>
        <w:pStyle w:val="Heading2"/>
      </w:pPr>
      <w:r>
        <w:t xml:space="preserve">§ 16-4. Building or structure nonconforming by use</w:t>
      </w:r>
    </w:p>
    <w:p>
      <w:pPr>
        <w:pStyle w:val="FirstParagraph"/>
      </w:pPr>
      <w:r>
        <w:rPr>
          <w:i/>
          <w:iCs/>
        </w:rPr>
        <w:t xml:space="preserve">[Ord. No. 08-31, 10-7-2009]</w:t>
      </w:r>
    </w:p>
    <w:p>
      <w:pPr>
        <w:pStyle w:val="BodyText"/>
      </w:pPr>
      <w:r>
        <w:t xml:space="preserve">Nonconforming uses are incompatible with and detrimental to permitted uses in the zoning districts in which they are located. Nonconforming uses cause disruption of the comprehensive land use pattern of the Town, inhibit present and future development of nearby properties, and confer upon their owners a position of unfair advantage. It is intended that existing nonconforming uses shall not justify further departures from this appendix for themselves, or for any other properties.</w:t>
      </w:r>
    </w:p>
    <w:p>
      <w:pPr>
        <w:pStyle w:val="Compact"/>
        <w:numPr>
          <w:ilvl w:val="0"/>
          <w:numId w:val="1155"/>
        </w:numPr>
      </w:pPr>
      <w:r>
        <w:t xml:space="preserve">(a) Treatment in residential zones. Nonconforming uses in residential zones are to be treated in a stricter fashion than nonconforming uses located in nonresidential zones. Due to the disruption which nonconforming uses cause to the peace and tranquility of a residential zone, nonconforming uses therein should be eventually abolished or reduced to total conformity over time.</w:t>
      </w:r>
    </w:p>
    <w:p>
      <w:pPr>
        <w:pStyle w:val="Compact"/>
        <w:numPr>
          <w:ilvl w:val="0"/>
          <w:numId w:val="1155"/>
        </w:numPr>
      </w:pPr>
      <w:r>
        <w:t xml:space="preserve">(b) Continuance. Nothing in this appendix shall prevent or be construed to prevent the continuance of a nonconforming use of any building or structure for any purpose to which such building or structure was lawfully established. A building or structure containing a nonconforming use may be maintained and repaired except as otherwise provided in this section.</w:t>
      </w:r>
    </w:p>
    <w:p>
      <w:pPr>
        <w:pStyle w:val="Compact"/>
        <w:numPr>
          <w:ilvl w:val="0"/>
          <w:numId w:val="1155"/>
        </w:numPr>
      </w:pPr>
      <w:r>
        <w:t xml:space="preserve">(c) Moving. A building or structure containing a nonconforming use shall not be moved in whole or in part either on or off the lot on which it is located unless the use contained within such building or structure is made to conform to the use regulations of the zone in which it is relocated.</w:t>
      </w:r>
    </w:p>
    <w:p>
      <w:pPr>
        <w:pStyle w:val="Compact"/>
        <w:numPr>
          <w:ilvl w:val="0"/>
          <w:numId w:val="1155"/>
        </w:numPr>
      </w:pPr>
      <w:r>
        <w:t xml:space="preserve">(d) Addition, expansion and intensification. The following standards shall apply to a building or structure containing a nonconforming use:</w:t>
      </w:r>
    </w:p>
    <w:p>
      <w:pPr>
        <w:pStyle w:val="Compact"/>
        <w:numPr>
          <w:ilvl w:val="1"/>
          <w:numId w:val="1156"/>
        </w:numPr>
      </w:pPr>
      <w:r>
        <w:t xml:space="preserve">(1) 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w:t>
      </w:r>
    </w:p>
    <w:p>
      <w:pPr>
        <w:pStyle w:val="Compact"/>
        <w:numPr>
          <w:ilvl w:val="1"/>
          <w:numId w:val="1156"/>
        </w:numPr>
      </w:pPr>
      <w:r>
        <w:t xml:space="preserve">(2) A nonconforming use of a such building or structure shall not be expanded into any other portion of the building or structure which contains a conforming use, or which is unoccupied or unused.</w:t>
      </w:r>
    </w:p>
    <w:p>
      <w:pPr>
        <w:pStyle w:val="Compact"/>
        <w:numPr>
          <w:ilvl w:val="1"/>
          <w:numId w:val="1156"/>
        </w:numPr>
      </w:pPr>
      <w:r>
        <w:t xml:space="preserve">(3) A nonconforming use of a such building, structure or land shall not be intensified in any manner. Intensification shall include, but not be limited to, increasing hours of operation, increasing the number of dwelling units or increasing the seating capacity of a place of assembly. However, this section shall not prohibit the reconfiguration of existing dwelling units within a building or structure so long as such reconfiguration complies with the requirements of subsection 2-8(f) does not constitute an expansion as described in paragraph (2) above.</w:t>
      </w:r>
    </w:p>
    <w:p>
      <w:pPr>
        <w:pStyle w:val="Compact"/>
        <w:numPr>
          <w:ilvl w:val="0"/>
          <w:numId w:val="1155"/>
        </w:numPr>
      </w:pPr>
      <w:r>
        <w:t xml:space="preserve">(e) Change of use. Within any zone, a nonconforming use shall be changed only to a permitted use (by right or special use permit) or to a use within the same use code listed under Article 4 and described in Appendix A. A nonconforming use, if changed to a permitted use, may not be changed back to a nonconforming use.</w:t>
      </w:r>
    </w:p>
    <w:p>
      <w:pPr>
        <w:pStyle w:val="Compact"/>
        <w:numPr>
          <w:ilvl w:val="0"/>
          <w:numId w:val="1155"/>
        </w:numPr>
      </w:pPr>
      <w:r>
        <w:t xml:space="preserve">(f) Abandonment. If a nonconforming use is abandoned, it may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intent not to abandon the use. An involuntary interruption of nonconforming use, such as by fire and natural catastrophe, does not establish the intent to abandon the nonconforming use. However, if any nonconforming use is halted for a period of one year or more, the owner of the nonconforming use will be presumed to have abandoned the nonconforming use, unless that presumption is rebutted by the presentation of sufficient evidence of intent not to abandon the use.</w:t>
      </w:r>
    </w:p>
    <w:bookmarkEnd w:id="153"/>
    <w:bookmarkStart w:id="154" w:name="land-nonconforming-by-use"/>
    <w:p>
      <w:pPr>
        <w:pStyle w:val="Heading2"/>
      </w:pPr>
      <w:r>
        <w:t xml:space="preserve">§ 16-5. Land nonconforming by use</w:t>
      </w:r>
    </w:p>
    <w:p>
      <w:pPr>
        <w:pStyle w:val="FirstParagraph"/>
      </w:pPr>
      <w:r>
        <w:rPr>
          <w:i/>
          <w:iCs/>
        </w:rPr>
        <w:t xml:space="preserve">[Ord. No. 08-31, 10-7-2009]</w:t>
      </w:r>
    </w:p>
    <w:p>
      <w:pPr>
        <w:pStyle w:val="Compact"/>
        <w:numPr>
          <w:ilvl w:val="0"/>
          <w:numId w:val="1157"/>
        </w:numPr>
      </w:pPr>
      <w:r>
        <w:t xml:space="preserve">(a) Continuance. The lawfully established nonconforming use of land, where no building is involved, may be continued, provided that no such nonconforming use of land shall in any way be expanded or intensified either on the same or adjoining property.</w:t>
      </w:r>
    </w:p>
    <w:p>
      <w:pPr>
        <w:pStyle w:val="Compact"/>
        <w:numPr>
          <w:ilvl w:val="0"/>
          <w:numId w:val="1157"/>
        </w:numPr>
      </w:pPr>
      <w:r>
        <w:t xml:space="preserve">(b) Change of use. The nonconforming use of land shall not be changed to a different use, unless such use conforms to the use regulations of the zone in which it is located.</w:t>
      </w:r>
    </w:p>
    <w:bookmarkEnd w:id="154"/>
    <w:bookmarkStart w:id="155" w:name="X17cbb04735a6ab8ccf8977d22f295760c98116f"/>
    <w:p>
      <w:pPr>
        <w:pStyle w:val="Heading2"/>
      </w:pPr>
      <w:r>
        <w:t xml:space="preserve">§ 16-6. Building or structure nonconforming by dimension</w:t>
      </w:r>
    </w:p>
    <w:p>
      <w:pPr>
        <w:pStyle w:val="FirstParagraph"/>
      </w:pPr>
      <w:r>
        <w:rPr>
          <w:i/>
          <w:iCs/>
        </w:rPr>
        <w:t xml:space="preserve">[Ord. No. 08-31, 10-7-2009]</w:t>
      </w:r>
    </w:p>
    <w:p>
      <w:pPr>
        <w:pStyle w:val="Compact"/>
        <w:numPr>
          <w:ilvl w:val="0"/>
          <w:numId w:val="1158"/>
        </w:numPr>
      </w:pPr>
      <w:r>
        <w:t xml:space="preserve">(a) Continuance. Buildings or structures that are nonconforming by dimension are likely to cause overcrowding and congestion in the neighborhoods, contribute to unhealthy conditions and are contrary to the purposes of this appendix. Buildings or structures that are nonconforming by dimension cause disruption of the comprehensive land use pattern of the Town, inhibit present and future development of nearby properties, and confer upon their owners a position of unfair advantage. It is intended that existing buildings or structures that are nonconforming by dimension shall not justify further departures from this appendix for themselves or for any other property. However, nothing in this appendix shall prevent or be construed to prevent the continuance of the use of any building or structure nonconforming by dimension for any purpose to which such building or structure was lawfully established. A building or structure nonconforming by dimension may be maintained and repaired except as otherwise provided in this section.</w:t>
      </w:r>
    </w:p>
    <w:p>
      <w:pPr>
        <w:pStyle w:val="Compact"/>
        <w:numPr>
          <w:ilvl w:val="0"/>
          <w:numId w:val="1158"/>
        </w:numPr>
      </w:pPr>
      <w:r>
        <w:t xml:space="preserve">(b) Moving. A building or structure which is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pStyle w:val="Compact"/>
        <w:numPr>
          <w:ilvl w:val="0"/>
          <w:numId w:val="1158"/>
        </w:numPr>
      </w:pPr>
      <w:r>
        <w:t xml:space="preserve">(c) Addition, expansion and intensification. The following standards shall apply to a building or structure nonconforming by dimension:</w:t>
      </w:r>
    </w:p>
    <w:p>
      <w:pPr>
        <w:pStyle w:val="Compact"/>
        <w:numPr>
          <w:ilvl w:val="1"/>
          <w:numId w:val="1159"/>
        </w:numPr>
      </w:pPr>
      <w:r>
        <w:t xml:space="preserve">(1) Such building or structure nonconforming by dimension shall not be added to or enlarged in any manner, unless such addition or enlargement conforms to all of the dimensional regulations of the zone in which the building or structure is located.</w:t>
      </w:r>
    </w:p>
    <w:p>
      <w:pPr>
        <w:pStyle w:val="Compact"/>
        <w:numPr>
          <w:ilvl w:val="1"/>
          <w:numId w:val="1159"/>
        </w:numPr>
      </w:pPr>
      <w:r>
        <w:t xml:space="preserve">(2) A conforming use within a such building or structure which is nonconforming by dimension (other than by lot area per dwelling unit) may be expanded into any other portion of the building or structure which is unoccupied or unused.</w:t>
      </w:r>
    </w:p>
    <w:p>
      <w:pPr>
        <w:pStyle w:val="Compact"/>
        <w:numPr>
          <w:ilvl w:val="1"/>
          <w:numId w:val="1159"/>
        </w:numPr>
      </w:pPr>
      <w:r>
        <w:t xml:space="preserve">(3) A conforming use within a such building or structure which is nonconforming by dimension may be intensified, provided that such intensification is in conformance with the use and lot area per dwelling unit regulations, if applicable, for all other applicable requirements of the zone in which it is located.</w:t>
      </w:r>
    </w:p>
    <w:p>
      <w:pPr>
        <w:pStyle w:val="Compact"/>
        <w:numPr>
          <w:ilvl w:val="0"/>
          <w:numId w:val="1158"/>
        </w:numPr>
      </w:pPr>
      <w:r>
        <w:t xml:space="preserve">(d) Change in use. A conforming use within a building or structure which is nonconforming by dimension may be changed to any other conforming use.</w:t>
      </w:r>
    </w:p>
    <w:p>
      <w:pPr>
        <w:pStyle w:val="Compact"/>
        <w:numPr>
          <w:ilvl w:val="0"/>
          <w:numId w:val="1158"/>
        </w:numPr>
      </w:pPr>
      <w:r>
        <w:t xml:space="preserve">(e) Demolition. A building or structure nonconforming by dimension, if voluntarily demolished, shall not be reconstructed unless it conforms to the dimensional regulations of the zone in which it is located. Such voluntary demolition shall be considered an abandonment of the use as set forth in subsection 2-8(i). If such building or structure is involuntarily demolished, destroyed or damaged, it may be repaired or rebuilt to the same size and dimension as previously existed.</w:t>
      </w:r>
    </w:p>
    <w:bookmarkEnd w:id="155"/>
    <w:bookmarkStart w:id="156" w:name="land-nonconforming-by-area"/>
    <w:p>
      <w:pPr>
        <w:pStyle w:val="Heading2"/>
      </w:pPr>
      <w:r>
        <w:t xml:space="preserve">§ 16-7. Land nonconforming by area</w:t>
      </w:r>
    </w:p>
    <w:p>
      <w:pPr>
        <w:pStyle w:val="FirstParagraph"/>
      </w:pPr>
      <w:r>
        <w:rPr>
          <w:i/>
          <w:iCs/>
        </w:rPr>
        <w:t xml:space="preserve">[Ord. No. 08-31, 10-7-2009]</w:t>
      </w:r>
    </w:p>
    <w:p>
      <w:pPr>
        <w:pStyle w:val="Compact"/>
        <w:numPr>
          <w:ilvl w:val="0"/>
          <w:numId w:val="1160"/>
        </w:numPr>
      </w:pPr>
      <w:r>
        <w:t xml:space="preserve">(a) Use of substandard lots. A lot having frontage on a street that is not in compliance with the dimensional regulations of the zoning ordinance, including, but not limited to, minimum lot size, lot width and lot frontage, otherwise known as a "substandard lot of record", may be used for any purpose that conforms to the use regulations of the zone in which it is located, provided such lot was shown on a recorded deed or plat entered into the land evidence records in the office of the Town Clerk on the effective date of this appendix, or any other ordinance or amendment rendering it substandard.</w:t>
      </w:r>
    </w:p>
    <w:p>
      <w:pPr>
        <w:pStyle w:val="Compact"/>
        <w:numPr>
          <w:ilvl w:val="0"/>
          <w:numId w:val="1160"/>
        </w:numPr>
      </w:pPr>
      <w:r>
        <w:t xml:space="preserve">(b) Enlargement of undersized substandard lots. Lawfully established lots which have less than the minimum area requirements, may be maintained and may be changed by adding additional land to such lots without prejudice to the rights of the owner of such lots pursuant to the provisions of this section.</w:t>
      </w:r>
    </w:p>
    <w:p>
      <w:pPr>
        <w:pStyle w:val="Compact"/>
        <w:numPr>
          <w:ilvl w:val="0"/>
          <w:numId w:val="1160"/>
        </w:numPr>
      </w:pPr>
      <w:r>
        <w:t xml:space="preserve">(c) Merger of substandard lots. Adjacent lawfully established individual lots in common ownership, which have less than the minimum area requirements on or after June 29, 1994, at the effective date of the adoption or amendment of this appendix, are not required to, but may be merged together by the owner. Any lawfully established lots that have been so merged or have been previously merged on the assessor's plats as one lot shall not be divided unless in conformance with the dimensional regulations of this appendix.</w:t>
      </w:r>
    </w:p>
    <w:p>
      <w:pPr>
        <w:pStyle w:val="Compact"/>
        <w:numPr>
          <w:ilvl w:val="0"/>
          <w:numId w:val="1160"/>
        </w:numPr>
      </w:pPr>
      <w:r>
        <w:t xml:space="preserve">(d) Undersized lots in agricultural and industrial zones. Lawfully established lots which have less than the minimum area requirements, and which are located in agricultural and industrial zones, shall not be used for residential uses, if such residential use was not permitted at the time such lot was lawfully established.</w:t>
      </w:r>
    </w:p>
    <w:p>
      <w:pPr>
        <w:pStyle w:val="Compact"/>
        <w:numPr>
          <w:ilvl w:val="0"/>
          <w:numId w:val="1160"/>
        </w:numPr>
      </w:pPr>
      <w:r>
        <w:t xml:space="preserve">(e) Merger of lots by use. Notwithstanding paragraph (b) above, in such cases where a substandard lot of record is contiguous to a lot under the same ownership as the substandard lot, and the lots are used in common, said lots shall be deemed merged for zoning purposes and shall not be sold separately. For the purposes of this subsection, such lots are used in common when one of the lots contains a principal structure, and one or more of the following conditions exist:</w:t>
      </w:r>
    </w:p>
    <w:p>
      <w:pPr>
        <w:pStyle w:val="Compact"/>
        <w:numPr>
          <w:ilvl w:val="1"/>
          <w:numId w:val="1161"/>
        </w:numPr>
      </w:pPr>
      <w:r>
        <w:t xml:space="preserve">(1) The principal structure occupies a portion of the contiguous lot;</w:t>
      </w:r>
    </w:p>
    <w:p>
      <w:pPr>
        <w:pStyle w:val="Compact"/>
        <w:numPr>
          <w:ilvl w:val="1"/>
          <w:numId w:val="1161"/>
        </w:numPr>
      </w:pPr>
      <w:r>
        <w:t xml:space="preserve">(2) The individual sewage disposal system (ISDS) serving the principal structure occupies a portion of the contiguous lot;</w:t>
      </w:r>
    </w:p>
    <w:p>
      <w:pPr>
        <w:pStyle w:val="Compact"/>
        <w:numPr>
          <w:ilvl w:val="1"/>
          <w:numId w:val="1161"/>
        </w:numPr>
      </w:pPr>
      <w:r>
        <w:t xml:space="preserve">(3) An accessory structure to the principal structure occupies a portion of the contiguous lot; or</w:t>
      </w:r>
    </w:p>
    <w:p>
      <w:pPr>
        <w:numPr>
          <w:ilvl w:val="1"/>
          <w:numId w:val="1161"/>
        </w:numPr>
      </w:pPr>
      <w:r>
        <w:t xml:space="preserve">(4) A portion of the contiguous lot is used to fulfill the off-street parking requirements of the principal structure.</w:t>
      </w:r>
    </w:p>
    <w:p>
      <w:pPr>
        <w:numPr>
          <w:ilvl w:val="1"/>
          <w:numId w:val="1000"/>
        </w:numPr>
      </w:pPr>
      <w:r>
        <w:t xml:space="preserve">If all such conditions resulting in the contiguous lots being used in common are eliminated or corrected, such lots shall no longer be considered to be merged by use.</w:t>
      </w:r>
    </w:p>
    <w:p>
      <w:pPr>
        <w:pStyle w:val="Compact"/>
        <w:numPr>
          <w:ilvl w:val="0"/>
          <w:numId w:val="1160"/>
        </w:numPr>
      </w:pPr>
      <w:r>
        <w:t xml:space="preserve">(f) Special use permit for land nonconforming by area. Notwithstanding the regulations for minimum lot area contained in Article 4 (dimensional regulations), the following uses may be made by special use permit, of lots in the following zones, provided that they meet all other requirements of this appendix:</w:t>
      </w:r>
    </w:p>
    <w:p>
      <w:pPr>
        <w:pStyle w:val="Compact"/>
        <w:numPr>
          <w:ilvl w:val="1"/>
          <w:numId w:val="1162"/>
        </w:numPr>
      </w:pPr>
      <w:r>
        <w:t xml:space="preserve">(1) A-1 Zone — A single household dwelling may be built on a lot with up to 10% less than the minimum area required.</w:t>
      </w:r>
    </w:p>
    <w:bookmarkEnd w:id="156"/>
    <w:bookmarkStart w:id="157" w:name="Xc3c796d37ecc962c5a64550868c8f026f05d6a1"/>
    <w:p>
      <w:pPr>
        <w:pStyle w:val="Heading2"/>
      </w:pPr>
      <w:r>
        <w:t xml:space="preserve">§ 16-8. Buildings and structures nonconforming by parking</w:t>
      </w:r>
    </w:p>
    <w:p>
      <w:pPr>
        <w:pStyle w:val="FirstParagraph"/>
      </w:pPr>
      <w:r>
        <w:rPr>
          <w:i/>
          <w:iCs/>
        </w:rPr>
        <w:t xml:space="preserve">[Ord. No. 08-31, 10-7-2009; amended 4-15-2026 by Ord. No. 26-03]</w:t>
      </w:r>
    </w:p>
    <w:p>
      <w:pPr>
        <w:pStyle w:val="Compact"/>
        <w:numPr>
          <w:ilvl w:val="0"/>
          <w:numId w:val="1163"/>
        </w:numPr>
      </w:pPr>
      <w:r>
        <w:t xml:space="preserve">(a) Applicability. A building, structure, or parking area is considered nonconforming by parking if any of the following conditions apply:</w:t>
      </w:r>
    </w:p>
    <w:p>
      <w:pPr>
        <w:pStyle w:val="Compact"/>
        <w:numPr>
          <w:ilvl w:val="1"/>
          <w:numId w:val="1164"/>
        </w:numPr>
      </w:pPr>
      <w:r>
        <w:t xml:space="preserve">(1) The lawfully established use of the building or structure does not meet the parking requirements of Article 14.</w:t>
      </w:r>
    </w:p>
    <w:p>
      <w:pPr>
        <w:pStyle w:val="Compact"/>
        <w:numPr>
          <w:ilvl w:val="1"/>
          <w:numId w:val="1164"/>
        </w:numPr>
      </w:pPr>
      <w:r>
        <w:t xml:space="preserve">(2) The design of the parking area does not meet the parking area design, landscaping, or drainage requirements of this Zoning Ordinance.</w:t>
      </w:r>
    </w:p>
    <w:p>
      <w:pPr>
        <w:pStyle w:val="Compact"/>
        <w:numPr>
          <w:ilvl w:val="0"/>
          <w:numId w:val="1163"/>
        </w:numPr>
      </w:pPr>
      <w:r>
        <w:t xml:space="preserve">(b) Addition, expansion, and intensification. The following standards shall apply to a building or structure nonconforming by parking:</w:t>
      </w:r>
    </w:p>
    <w:p>
      <w:pPr>
        <w:pStyle w:val="Compact"/>
        <w:numPr>
          <w:ilvl w:val="1"/>
          <w:numId w:val="1165"/>
        </w:numPr>
      </w:pPr>
      <w:r>
        <w:t xml:space="preserve">(1) A nonresidential building or structure, or use of land, nonconforming by parking, may be added to, enlarged, expanded or intensified provided additional parking space is supplied to meet the requirements of Article 14 for such addition, enlargement, expansion or intensification.</w:t>
      </w:r>
    </w:p>
    <w:p>
      <w:pPr>
        <w:pStyle w:val="Compact"/>
        <w:numPr>
          <w:ilvl w:val="1"/>
          <w:numId w:val="1165"/>
        </w:numPr>
      </w:pPr>
      <w:r>
        <w:t xml:space="preserve">(2) Any residential building or structure nonconforming by parking, may not be added to, enlarged, expanded or intensified, unless brought into full compliance with the parking requirements of Article 14, such that sufficient parking is provided for the entire structure including the original portion and the addition, enlargement, expansion or intensification.</w:t>
      </w:r>
    </w:p>
    <w:p>
      <w:pPr>
        <w:pStyle w:val="Compact"/>
        <w:numPr>
          <w:ilvl w:val="0"/>
          <w:numId w:val="1163"/>
        </w:numPr>
      </w:pPr>
      <w:r>
        <w:t xml:space="preserve">(c) Change of use. A building or structure nonconforming by parking, may be changed to a different use, pursuant to all other provisions of this appendix, provided that such new use meets the following parking requirements of Article 14. The number of additional parking spaces required shall be the difference between the numbers of spaces required for the proposed use and the number of spaces required for the previous use. In the event that the new use requires fewer parking spaces than the previous use, no additional parking spaces need be supplied. However, none of the existing parking spaces shall be eliminated unless the total numbers of spaces required by this appendix for the new use are provided. However, in those cases where an existing permitted use does not meet the parking requirements of Article 14 and is proposed to be changed to a use which requires fewer parking spaces, but which would also not meet the parking requirements on the subject parcel, no additional parking spaces need be supplied. In all other circumstances, if the parcel is unable to support the required number of parking spaces, the applicant shall seek relief from the Zoning Board of Review in the form of a special use permit under the provisions of Article 1.</w:t>
      </w:r>
    </w:p>
    <w:p>
      <w:pPr>
        <w:pStyle w:val="Compact"/>
        <w:numPr>
          <w:ilvl w:val="0"/>
          <w:numId w:val="1163"/>
        </w:numPr>
      </w:pPr>
      <w:r>
        <w:t xml:space="preserve">(d) A parking area subject to § 16-8(a)(2) may be expanded or altered in accordance with the requirements provided herein. For the purposes of this subsection, expansion includes any addition of impervious surface to increase parking capacity. Alteration is any structural change to the interior of the existing parking area that disturbs more than 2,000 square feet of surface area including, but not limited to, excavation of any kind or the reclamation of pavement. Top coating or overlay of new pavement on an existing paved surface shall not be considered an alteration subject to these requirements. Where alterations subject to this subsection are proposed, the property owner shall demonstrate to the Town that the work will result, to the extent practicable, in greater adherence with the Town of Cumberland's drainage and landscaping requirements as set forth in the Land Development and Subdivision Regulations, and incorporated into this Zoning Ordinance by reference. Any intentional phasing of parking area improvements, as determined by the Building Official, that would circumvent the applicability of this provision shall be considered a zoning violation.</w:t>
      </w:r>
    </w:p>
    <w:bookmarkEnd w:id="157"/>
    <w:bookmarkStart w:id="158" w:name="administration-and-enforcement"/>
    <w:p>
      <w:pPr>
        <w:pStyle w:val="Heading1"/>
      </w:pPr>
      <w:r>
        <w:t xml:space="preserve">§ 17. Administration and Enforcement</w:t>
      </w:r>
    </w:p>
    <w:bookmarkEnd w:id="158"/>
    <w:bookmarkStart w:id="159" w:name="enforcement-duties"/>
    <w:p>
      <w:pPr>
        <w:pStyle w:val="Heading2"/>
      </w:pPr>
      <w:r>
        <w:t xml:space="preserve">§ 17-1. Enforcement duties</w:t>
      </w:r>
    </w:p>
    <w:p>
      <w:pPr>
        <w:pStyle w:val="FirstParagraph"/>
      </w:pPr>
      <w:r>
        <w:rPr>
          <w:i/>
          <w:iCs/>
        </w:rPr>
        <w:t xml:space="preserve">[Ord. No. 08-31, 10-7-2009]</w:t>
      </w:r>
    </w:p>
    <w:p>
      <w:pPr>
        <w:pStyle w:val="Compact"/>
        <w:numPr>
          <w:ilvl w:val="0"/>
          <w:numId w:val="1166"/>
        </w:numPr>
      </w:pPr>
      <w:r>
        <w:t xml:space="preserve">(a) Building Official. It shall be the duty of the Building Official to interpret and enforce the provisions of this appendix in the manner and form and with the powers provided in the laws of the state and in the charter and ordinances of the Town. The Building Official shall refer all applications for variances, special use permits and other appeals to the Zoning Board of Review. The Building Official shall make a determination in writing, within 15 days, to any written complaint received, regarding a violation of this appendix. In order to provide guidance or clarification, the Building Official shall, upon written request, issue a zoning certificate or provide information to the requesting party within 15 days of the written request. Any determination of the Building Official may be appealed to the Zoning Board of Review in accordance with § 17-11 of this article.</w:t>
      </w:r>
    </w:p>
    <w:p>
      <w:pPr>
        <w:pStyle w:val="Compact"/>
        <w:numPr>
          <w:ilvl w:val="0"/>
          <w:numId w:val="1166"/>
        </w:numPr>
      </w:pPr>
      <w:r>
        <w:t xml:space="preserve">(b) Minimum requirements. In interpretation and application, the provisions of this appendix shall be held to be the minimum requirements for the promotion of health, safety, morals, convenience or the general welfare.</w:t>
      </w:r>
    </w:p>
    <w:bookmarkEnd w:id="159"/>
    <w:bookmarkStart w:id="160" w:name="building-permitcertificate-of-occupancy"/>
    <w:p>
      <w:pPr>
        <w:pStyle w:val="Heading2"/>
      </w:pPr>
      <w:r>
        <w:t xml:space="preserve">§ 17-2. Building permit/certificate of occupancy</w:t>
      </w:r>
    </w:p>
    <w:p>
      <w:pPr>
        <w:pStyle w:val="FirstParagraph"/>
      </w:pPr>
      <w:r>
        <w:rPr>
          <w:i/>
          <w:iCs/>
        </w:rPr>
        <w:t xml:space="preserve">[Ord. No. 08-31, 10-7-2009]</w:t>
      </w:r>
    </w:p>
    <w:p>
      <w:pPr>
        <w:pStyle w:val="BodyText"/>
      </w:pPr>
      <w:r>
        <w:t xml:space="preserve">Before a building permit or certificate of occupancy is issued for the construction, reconstruction, alteration, repair, demolition, removal, or enlargement or occupancy of any building or structure or use of premises, a site plan an application (three copies) shall be submitted to the Building Official indicating the intended use and its conformity in all respects to the provisions of this appendix. An application for a building permit for an addition, erection or enlargement under the provisions of the Rhode Island Building Code shall be accompanied by a site plan, drawn to scale, showing the following:</w:t>
      </w:r>
    </w:p>
    <w:p>
      <w:pPr>
        <w:pStyle w:val="Compact"/>
        <w:numPr>
          <w:ilvl w:val="0"/>
          <w:numId w:val="1167"/>
        </w:numPr>
      </w:pPr>
      <w:r>
        <w:t xml:space="preserve">(a) Accurate dimensions of the lot;</w:t>
      </w:r>
    </w:p>
    <w:p>
      <w:pPr>
        <w:pStyle w:val="Compact"/>
        <w:numPr>
          <w:ilvl w:val="0"/>
          <w:numId w:val="1167"/>
        </w:numPr>
      </w:pPr>
      <w:r>
        <w:t xml:space="preserve">(b) Building site;</w:t>
      </w:r>
    </w:p>
    <w:p>
      <w:pPr>
        <w:pStyle w:val="Compact"/>
        <w:numPr>
          <w:ilvl w:val="0"/>
          <w:numId w:val="1167"/>
        </w:numPr>
      </w:pPr>
      <w:r>
        <w:t xml:space="preserve">(c) Location and size of existing buildings on the lot;</w:t>
      </w:r>
    </w:p>
    <w:p>
      <w:pPr>
        <w:pStyle w:val="Compact"/>
        <w:numPr>
          <w:ilvl w:val="0"/>
          <w:numId w:val="1167"/>
        </w:numPr>
      </w:pPr>
      <w:r>
        <w:t xml:space="preserve">(d) All proposed construction;</w:t>
      </w:r>
    </w:p>
    <w:p>
      <w:pPr>
        <w:pStyle w:val="Compact"/>
        <w:numPr>
          <w:ilvl w:val="0"/>
          <w:numId w:val="1167"/>
        </w:numPr>
      </w:pPr>
      <w:r>
        <w:t xml:space="preserve">(e) All front, side and rear yard dimensions;</w:t>
      </w:r>
    </w:p>
    <w:p>
      <w:pPr>
        <w:pStyle w:val="Compact"/>
        <w:numPr>
          <w:ilvl w:val="0"/>
          <w:numId w:val="1167"/>
        </w:numPr>
      </w:pPr>
      <w:r>
        <w:t xml:space="preserve">(f) Proposed parking areas; and</w:t>
      </w:r>
    </w:p>
    <w:p>
      <w:pPr>
        <w:pStyle w:val="Compact"/>
        <w:numPr>
          <w:ilvl w:val="0"/>
          <w:numId w:val="1167"/>
        </w:numPr>
      </w:pPr>
      <w:r>
        <w:t xml:space="preserve">(g) Such other information as may be necessary to enforce the provisions of this appendix.</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 site plan shall not be required with an application for a permit involving the alteration of an existing building(s), where the use and exterior dimensions of the buildings are not changed or enlarged in any manner.</w:t>
            </w:r>
          </w:p>
        </w:tc>
      </w:tr>
    </w:tbl>
    <w:bookmarkEnd w:id="160"/>
    <w:bookmarkStart w:id="161" w:name="certificate-of-occupancy"/>
    <w:p>
      <w:pPr>
        <w:pStyle w:val="Heading2"/>
      </w:pPr>
      <w:r>
        <w:t xml:space="preserve">§ 17-3. Certificate of occupancy</w:t>
      </w:r>
    </w:p>
    <w:p>
      <w:pPr>
        <w:pStyle w:val="FirstParagraph"/>
      </w:pPr>
      <w:r>
        <w:rPr>
          <w:i/>
          <w:iCs/>
        </w:rPr>
        <w:t xml:space="preserve">[Ord. No. 08-31, 10-7-2009]</w:t>
      </w:r>
    </w:p>
    <w:p>
      <w:pPr>
        <w:pStyle w:val="BodyText"/>
      </w:pPr>
      <w:r>
        <w:t xml:space="preserve">A certificate of occupancy as required by the Rhode Island Building Code shall be required for any of the following:</w:t>
      </w:r>
    </w:p>
    <w:p>
      <w:pPr>
        <w:pStyle w:val="Compact"/>
        <w:numPr>
          <w:ilvl w:val="0"/>
          <w:numId w:val="1168"/>
        </w:numPr>
      </w:pPr>
      <w:r>
        <w:t xml:space="preserve">(a) Occupancy and use of a building hereafter erected or enlarged;</w:t>
      </w:r>
    </w:p>
    <w:p>
      <w:pPr>
        <w:pStyle w:val="Compact"/>
        <w:numPr>
          <w:ilvl w:val="0"/>
          <w:numId w:val="1168"/>
        </w:numPr>
      </w:pPr>
      <w:r>
        <w:t xml:space="preserve">(b) Change in use of an existing building to a different use;</w:t>
      </w:r>
    </w:p>
    <w:p>
      <w:pPr>
        <w:pStyle w:val="Compact"/>
        <w:numPr>
          <w:ilvl w:val="0"/>
          <w:numId w:val="1168"/>
        </w:numPr>
      </w:pPr>
      <w:r>
        <w:t xml:space="preserve">(c) Intensification of an existing use of either a building or land;</w:t>
      </w:r>
    </w:p>
    <w:p>
      <w:pPr>
        <w:pStyle w:val="Compact"/>
        <w:numPr>
          <w:ilvl w:val="0"/>
          <w:numId w:val="1168"/>
        </w:numPr>
      </w:pPr>
      <w:r>
        <w:t xml:space="preserve">(d) Occupancy and use of vacant land except for the raising of crops;</w:t>
      </w:r>
    </w:p>
    <w:p>
      <w:pPr>
        <w:pStyle w:val="Compact"/>
        <w:numPr>
          <w:ilvl w:val="0"/>
          <w:numId w:val="1168"/>
        </w:numPr>
      </w:pPr>
      <w:r>
        <w:t xml:space="preserve">(e) Change in the use of land to different use except for the raising of crops; or</w:t>
      </w:r>
    </w:p>
    <w:p>
      <w:pPr>
        <w:pStyle w:val="Compact"/>
        <w:numPr>
          <w:ilvl w:val="0"/>
          <w:numId w:val="1168"/>
        </w:numPr>
      </w:pPr>
      <w:r>
        <w:t xml:space="preserve">(f) Any change in use of a nonconforming use.</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The occupancy, use or change of use shall not take place until a certificate of occupancy has been issued by the Building Official in accordance with the requirements for the issuance of a certificate of occupancy as stated in the Rhode Island Building Code.</w:t>
            </w:r>
          </w:p>
        </w:tc>
      </w:tr>
      <w:tr>
        <w:tc>
          <w:tcPr/>
          <w:p>
            <w:pPr>
              <w:pStyle w:val="Compact"/>
              <w:jc w:val="left"/>
            </w:pPr>
            <w:r>
              <w:t xml:space="preserve">In interpreting and applying the provisions of this appendix, they shall be held to be the minimum requirements for the promotion of health, safety, morals, convenience or the general welfare.</w:t>
            </w:r>
          </w:p>
        </w:tc>
      </w:tr>
    </w:tbl>
    <w:bookmarkEnd w:id="161"/>
    <w:bookmarkStart w:id="162" w:name="conflicts-of-law"/>
    <w:p>
      <w:pPr>
        <w:pStyle w:val="Heading2"/>
      </w:pPr>
      <w:r>
        <w:t xml:space="preserve">§ 17-4. Conflicts of law</w:t>
      </w:r>
    </w:p>
    <w:p>
      <w:pPr>
        <w:pStyle w:val="FirstParagraph"/>
      </w:pPr>
      <w:r>
        <w:rPr>
          <w:i/>
          <w:iCs/>
        </w:rPr>
        <w:t xml:space="preserve">[Ord. No. 08-31, 10-7-2009]</w:t>
      </w:r>
    </w:p>
    <w:p>
      <w:pPr>
        <w:pStyle w:val="BodyText"/>
      </w:pPr>
      <w:r>
        <w:t xml:space="preserve">All departments, officials and public employees of the Town which are vested with the duty or authority to issue permits or licenses shall conform to the provisions of this appendix and shall issue no permit or license for any use, building or purpose if the same would be in conflict with the provisions of this appendix. Any permit or license, issued in conflict with the provisions of this appendix, shall be null and void.</w:t>
      </w:r>
    </w:p>
    <w:bookmarkEnd w:id="162"/>
    <w:bookmarkStart w:id="163" w:name="penalties-and-enforcement"/>
    <w:p>
      <w:pPr>
        <w:pStyle w:val="Heading2"/>
      </w:pPr>
      <w:r>
        <w:t xml:space="preserve">§ 17-5. Penalties and enforcement</w:t>
      </w:r>
    </w:p>
    <w:p>
      <w:pPr>
        <w:pStyle w:val="FirstParagraph"/>
      </w:pPr>
      <w:r>
        <w:rPr>
          <w:i/>
          <w:iCs/>
        </w:rPr>
        <w:t xml:space="preserve">[Ord. No. 08-31, 10-7-2009]</w:t>
      </w:r>
    </w:p>
    <w:p>
      <w:pPr>
        <w:pStyle w:val="BodyText"/>
      </w:pPr>
      <w:r>
        <w:t xml:space="preserve">Any person or corporation, whether as principal, agent, employee or otherwise, who violates or is the owner of property in violation of any of the provisions of this appendix shall be fined up to $500 for each offense, such fine to inure to the Town. Each day of the existence of any violation shall be deemed a separate offense. The erection, construction, enlargement, intensification, conversion, moving or maintenance of any building or structure and the use of any land or building or structure which is continued, operated or maintained, contrary to any of the provisions of this appendix is hereby declared to be a violation of this appendix and unlawful. The Building Official shall be empowered to levy such fines, with appeal thereupon to the district court. The Town Solicitor shall also be empowered to institute injunction, abatement or any other appropriate action in any appropriate court to prevent, enjoin, abate or remove such violation, or compel compliance with the provisions of this appendix. The Town Solicitor may consolidate an action for injunctive relief and/or fines under this appendix in the Superior Court for Providence County. The remedies provided for herein shall be cumulative and not exclusive and shall be in addition to any other remedies provided by law.</w:t>
      </w:r>
    </w:p>
    <w:bookmarkEnd w:id="163"/>
    <w:bookmarkStart w:id="164" w:name="X5b90f0d7951077b11be0b78b7c7ba4e6bdee7bc"/>
    <w:p>
      <w:pPr>
        <w:pStyle w:val="Heading2"/>
      </w:pPr>
      <w:r>
        <w:t xml:space="preserve">§ 17-6. Establishment of the Zoning Board of Review</w:t>
      </w:r>
    </w:p>
    <w:p>
      <w:pPr>
        <w:pStyle w:val="FirstParagraph"/>
      </w:pPr>
      <w:r>
        <w:rPr>
          <w:i/>
          <w:iCs/>
        </w:rPr>
        <w:t xml:space="preserve">[Ord. No. 08-31, 10-7-2009]</w:t>
      </w:r>
    </w:p>
    <w:p>
      <w:pPr>
        <w:pStyle w:val="BodyText"/>
      </w:pPr>
      <w:r>
        <w:t xml:space="preserve">A Zoning Board of Review, herein called the "board," is hereby created. Board members may be remunerated in the performance of official duties, at an amount to be established by the Town Council. The board, with the approval of the Town Council may engage technical assistance to aid in the discharge of its duties. The Building Official shall serve as staff to the board. The Town Solicitor or assistant Town Solicitor shall serve as legal counsel to the board. The board shall establish written rules of procedures within six months of the adoption of this appendix. Appeals and correspondence to the board shall be sent to the board in care of the Building Official. The Building Official shall file all records and decisions of the board.</w:t>
      </w:r>
    </w:p>
    <w:bookmarkEnd w:id="164"/>
    <w:bookmarkStart w:id="165" w:name="X210618c8ad6f4cc425df51c7da456f6d2e10fb9"/>
    <w:p>
      <w:pPr>
        <w:pStyle w:val="Heading2"/>
      </w:pPr>
      <w:r>
        <w:t xml:space="preserve">§ 17-7. Membership and voting requirements of the Board</w:t>
      </w:r>
    </w:p>
    <w:p>
      <w:pPr>
        <w:pStyle w:val="FirstParagraph"/>
      </w:pPr>
      <w:r>
        <w:rPr>
          <w:i/>
          <w:iCs/>
        </w:rPr>
        <w:t xml:space="preserve">[Ord. No. 08-31, 10-7-2009]</w:t>
      </w:r>
    </w:p>
    <w:p>
      <w:pPr>
        <w:pStyle w:val="Compact"/>
        <w:numPr>
          <w:ilvl w:val="0"/>
          <w:numId w:val="1169"/>
        </w:numPr>
      </w:pPr>
      <w:r>
        <w:t xml:space="preserve">(a) Membership. The Zoning Board of Review shall consist of five members who are residents of Cumberland, appointed by the Town Council, each to hold office for the term of five years; provided, however, that the original appointments shall be made for terms of one, two, three, four, and five years respectively. The board shall also include two alternates, to be appointed by the Town Council for terms of one year.</w:t>
      </w:r>
    </w:p>
    <w:p>
      <w:pPr>
        <w:pStyle w:val="Compact"/>
        <w:numPr>
          <w:ilvl w:val="0"/>
          <w:numId w:val="1169"/>
        </w:numPr>
      </w:pPr>
      <w:r>
        <w:t xml:space="preserve">(b) Vacancies. Vacancies in unexpired terms of board members shall be filled by the Town Council no more than 90 days following the vacancy. Members may be removed by the Town Council for due cause and for not attending three consecutive meetings.</w:t>
      </w:r>
    </w:p>
    <w:p>
      <w:pPr>
        <w:pStyle w:val="Compact"/>
        <w:numPr>
          <w:ilvl w:val="0"/>
          <w:numId w:val="1169"/>
        </w:numPr>
      </w:pPr>
      <w:r>
        <w:t xml:space="preserve">(c) Chair, vice-chair and secretary. The board shall, at its first meeting following the adoption of this appendix, and in January of each year thereafter, elect a chairperson, vice-chairperson and secretary from its membership. The chairperson, or in his/her absence, the vice-chairperson, may administer oaths and compel the attendance of witnesses by the issuance of subpoenas.</w:t>
      </w:r>
    </w:p>
    <w:p>
      <w:pPr>
        <w:pStyle w:val="Compact"/>
        <w:numPr>
          <w:ilvl w:val="0"/>
          <w:numId w:val="1169"/>
        </w:numPr>
      </w:pPr>
      <w:r>
        <w:t xml:space="preserve">(d) Participation and voting. The alternate members shall sit and may actively participate in hearings. An alternate, as chosen by the chair of the board, shall vote when a member of the board are unable to serve at a hearing. No member or alternate may vote on any matter before the board unless they have attended all hearings concerning such matter. No member or alternate may participate in any way whatsoever on any matter for which they would have a conflict of interest as defined by the Rhode Island Law and the Rhode Island Ethics Commission.</w:t>
      </w:r>
    </w:p>
    <w:bookmarkEnd w:id="165"/>
    <w:bookmarkStart w:id="166" w:name="powers-and-duties-of-the-board"/>
    <w:p>
      <w:pPr>
        <w:pStyle w:val="Heading2"/>
      </w:pPr>
      <w:r>
        <w:t xml:space="preserve">§ 17-8. Powers and duties of the Board</w:t>
      </w:r>
    </w:p>
    <w:p>
      <w:pPr>
        <w:pStyle w:val="FirstParagraph"/>
      </w:pPr>
      <w:r>
        <w:rPr>
          <w:i/>
          <w:iCs/>
        </w:rPr>
        <w:t xml:space="preserve">[Ord. No. 08-31, 10-7-2009]</w:t>
      </w:r>
    </w:p>
    <w:p>
      <w:pPr>
        <w:pStyle w:val="BodyText"/>
      </w:pPr>
      <w:r>
        <w:t xml:space="preserve">The board shall have the following powers and duties:</w:t>
      </w:r>
    </w:p>
    <w:p>
      <w:pPr>
        <w:pStyle w:val="Compact"/>
        <w:numPr>
          <w:ilvl w:val="0"/>
          <w:numId w:val="1170"/>
        </w:numPr>
      </w:pPr>
      <w:r>
        <w:t xml:space="preserve">(a) To hear and decide appeals in a timely fashion where it is alleged there is error in any order, requirement, decision, or determination made by an administrative officer or agency in the enforcement or interpretation of this appendix.</w:t>
      </w:r>
    </w:p>
    <w:p>
      <w:pPr>
        <w:pStyle w:val="Compact"/>
        <w:numPr>
          <w:ilvl w:val="0"/>
          <w:numId w:val="1170"/>
        </w:numPr>
      </w:pPr>
      <w:r>
        <w:t xml:space="preserve">(b) To hear and decide appeals from a party aggrieved by a decision of the historic district commission (HDC), pursuant to Article 8.</w:t>
      </w:r>
    </w:p>
    <w:p>
      <w:pPr>
        <w:pStyle w:val="Compact"/>
        <w:numPr>
          <w:ilvl w:val="0"/>
          <w:numId w:val="1170"/>
        </w:numPr>
      </w:pPr>
      <w:r>
        <w:t xml:space="preserve">(c) To authorize upon application, in specific cases of hardship, variances in the application of the terms of this appendix. To hear and decide applications for variances, pursuant to Article 18.</w:t>
      </w:r>
    </w:p>
    <w:p>
      <w:pPr>
        <w:pStyle w:val="Compact"/>
        <w:numPr>
          <w:ilvl w:val="0"/>
          <w:numId w:val="1170"/>
        </w:numPr>
      </w:pPr>
      <w:r>
        <w:t xml:space="preserve">(d) To authorize upon application, where specified in this appendix, special use permits. To hear and decide applications for special use permits, pursuant to Article 18.</w:t>
      </w:r>
    </w:p>
    <w:p>
      <w:pPr>
        <w:pStyle w:val="Compact"/>
        <w:numPr>
          <w:ilvl w:val="0"/>
          <w:numId w:val="1170"/>
        </w:numPr>
      </w:pPr>
      <w:r>
        <w:t xml:space="preserve">(e) To refer matters to the Planning Board, planning department, or to other boards or agencies of the Town as the board may deem appropriate, for findings and recommendations.</w:t>
      </w:r>
    </w:p>
    <w:p>
      <w:pPr>
        <w:pStyle w:val="Compact"/>
        <w:numPr>
          <w:ilvl w:val="0"/>
          <w:numId w:val="1170"/>
        </w:numPr>
      </w:pPr>
      <w:r>
        <w:t xml:space="preserve">(f) To provide for issuance of conditional zoning approvals where a proposed application would otherwise be approved except that one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a specified time period.</w:t>
      </w:r>
    </w:p>
    <w:p>
      <w:pPr>
        <w:pStyle w:val="Compact"/>
        <w:numPr>
          <w:ilvl w:val="0"/>
          <w:numId w:val="1170"/>
        </w:numPr>
      </w:pPr>
      <w:r>
        <w:t xml:space="preserve">(g) To hear and decide such other matters, according to the terms of this appendix or other statutes, and upon which the board may be authorized to pass under this appendix or other statutes.</w:t>
      </w:r>
    </w:p>
    <w:bookmarkEnd w:id="166"/>
    <w:bookmarkStart w:id="167" w:name="voting-decisions-of-the-board"/>
    <w:p>
      <w:pPr>
        <w:pStyle w:val="Heading2"/>
      </w:pPr>
      <w:r>
        <w:t xml:space="preserve">§ 17-9. Voting decisions of the Board</w:t>
      </w:r>
    </w:p>
    <w:p>
      <w:pPr>
        <w:pStyle w:val="FirstParagraph"/>
      </w:pPr>
      <w:r>
        <w:rPr>
          <w:i/>
          <w:iCs/>
        </w:rPr>
        <w:t xml:space="preserve">[Ord. No. 08-31, 10-7-2009]</w:t>
      </w:r>
    </w:p>
    <w:p>
      <w:pPr>
        <w:pStyle w:val="BodyText"/>
      </w:pPr>
      <w:r>
        <w:t xml:space="preserve">In rendering a decision, the board shall be required to vote as follows:</w:t>
      </w:r>
    </w:p>
    <w:p>
      <w:pPr>
        <w:pStyle w:val="Compact"/>
        <w:numPr>
          <w:ilvl w:val="0"/>
          <w:numId w:val="1171"/>
        </w:numPr>
      </w:pPr>
      <w:r>
        <w:t xml:space="preserve">(a) Five active members shall be necessary to conduct a hearing. As soon as a conflict occurs for a member, that member shall recuse himself/herself, and shall not sit as an active member and shall take no part in the conduct of the hearing. Only five active members shall be entitled to vote on any issue.</w:t>
      </w:r>
    </w:p>
    <w:p>
      <w:pPr>
        <w:pStyle w:val="Compact"/>
        <w:numPr>
          <w:ilvl w:val="0"/>
          <w:numId w:val="1171"/>
        </w:numPr>
      </w:pPr>
      <w:r>
        <w:t xml:space="preserve">(b) The concurring vote of three of the five members of the board sitting at a hearing shall be necessary to reverse any order, requirement, decision or determination of the Building Official, Planning Board, HDC or any zoning administrative other officer or agency from whom an appeal was taken.</w:t>
      </w:r>
    </w:p>
    <w:p>
      <w:pPr>
        <w:pStyle w:val="Compact"/>
        <w:numPr>
          <w:ilvl w:val="0"/>
          <w:numId w:val="1171"/>
        </w:numPr>
      </w:pPr>
      <w:r>
        <w:t xml:space="preserve">(c) The concurring vote of four of the five members of the board sitting at a hearing shall be required to decide in favor of an applicant on any matter within the discretion of the board upon which it is required to pass under this appendix, including variances and special use permits.</w:t>
      </w:r>
    </w:p>
    <w:bookmarkEnd w:id="167"/>
    <w:bookmarkStart w:id="168" w:name="application-procedures"/>
    <w:p>
      <w:pPr>
        <w:pStyle w:val="Heading2"/>
      </w:pPr>
      <w:r>
        <w:t xml:space="preserve">§ 17-10. Application procedures</w:t>
      </w:r>
    </w:p>
    <w:p>
      <w:pPr>
        <w:pStyle w:val="FirstParagraph"/>
      </w:pPr>
      <w:r>
        <w:rPr>
          <w:i/>
          <w:iCs/>
        </w:rPr>
        <w:t xml:space="preserve">[Ord. No. 08-31, 10-7-2009]</w:t>
      </w:r>
    </w:p>
    <w:p>
      <w:pPr>
        <w:pStyle w:val="BodyText"/>
      </w:pPr>
      <w:r>
        <w:t xml:space="preserve">Application procedures and forms for the filing of appeals, request for variances, special use permits, development review, site plan review and such other applications as may be specified in this appendix, shall be prepared by the Building Official and published made available to all applicants.</w:t>
      </w:r>
    </w:p>
    <w:p>
      <w:pPr>
        <w:pStyle w:val="Compact"/>
        <w:numPr>
          <w:ilvl w:val="0"/>
          <w:numId w:val="1172"/>
        </w:numPr>
      </w:pPr>
      <w:r>
        <w:t xml:space="preserve">(a) Fees. Reasonable fees may be required, in an amount to be established by the Town Council, to be paid by the appellant or applicant for the adequate review and hearing of applications, issuance of zoning certificates and the recording of the decisions thereon. In addition, the board may require the services of outside professional experts to assist in the review of an application, the cost of which shall be borne by the applicant on an actual fee basis.</w:t>
      </w:r>
    </w:p>
    <w:p>
      <w:pPr>
        <w:numPr>
          <w:ilvl w:val="0"/>
          <w:numId w:val="1172"/>
        </w:numPr>
      </w:pPr>
      <w:r>
        <w:t xml:space="preserve">(b) Decisions and records of the Zoning Board of Review. Following a public hearing, the board shall render a decision within a reasonable period of time. The board shall include in its decision all findings of fact and conditions, showing the vote of each member participating thereon, and the absence of a member or his or her failure to vote. Decisions shall be recorded and filed in the office of the Building Official, as well in the land evidence records referencing the property affected by such decision.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Building Official in an expeditious manner upon completion of the proceeding. For any proceeding in which the right of appeal lies to the superior or supreme court, the board shall have the minutes taken either by a competent stenographer or recorded by a sound-recording device.</w:t>
      </w:r>
    </w:p>
    <w:p>
      <w:pPr>
        <w:numPr>
          <w:ilvl w:val="0"/>
          <w:numId w:val="1000"/>
        </w:numPr>
      </w:pPr>
      <w:r>
        <w:t xml:space="preserve">Any decision by the board, including any special conditions attached thereto, shall be mailed to the applicant, to the Planning Board, and to the associate director of the Division of Planning of the Rhode Island Department of Administration. Any decision evidencing the granting of a variance or special use permit shall also be recorded in the land evidence records of the Town.</w:t>
      </w:r>
    </w:p>
    <w:bookmarkEnd w:id="168"/>
    <w:bookmarkStart w:id="169" w:name="appeals-to-the-zoning-board"/>
    <w:p>
      <w:pPr>
        <w:pStyle w:val="Heading2"/>
      </w:pPr>
      <w:r>
        <w:t xml:space="preserve">§ 17-11. Appeals to the Zoning Board</w:t>
      </w:r>
    </w:p>
    <w:p>
      <w:pPr>
        <w:pStyle w:val="FirstParagraph"/>
      </w:pPr>
      <w:r>
        <w:rPr>
          <w:i/>
          <w:iCs/>
        </w:rPr>
        <w:t xml:space="preserve">[Ord. No. 08-31, 10-7-2009]</w:t>
      </w:r>
    </w:p>
    <w:p>
      <w:pPr>
        <w:pStyle w:val="Compact"/>
        <w:numPr>
          <w:ilvl w:val="0"/>
          <w:numId w:val="1173"/>
        </w:numPr>
      </w:pPr>
      <w:r>
        <w:t xml:space="preserve">(a) Procedure. An appeal to the board from a decision of the Building Official, any other zoning enforcement officer or agency or of the HDC pursuant to Article 8, may be taken by an aggrieved party. Such appeal shall be taken within 30 days of the date of the recording of the decision of the officer or agency, or within 30 days of the time when the aggrieved party knew or should have known of the action or decision of such officer or agency. The appeal shall be commenced by filing an application with the board, with a copy to the officer or agency from whom the appeal is taken, specifying the ground thereof. The officer or agency from whom the appeal is taken shall forthwith transmit to the board all papers, including any transcript or audiotapes, constituting the record upon which the action appealed from was taken. Notice of the appeal shall also be transmitted to the Planning Board.</w:t>
      </w:r>
    </w:p>
    <w:p>
      <w:pPr>
        <w:pStyle w:val="Compact"/>
        <w:numPr>
          <w:ilvl w:val="0"/>
          <w:numId w:val="1173"/>
        </w:numPr>
      </w:pPr>
      <w:r>
        <w:t xml:space="preserve">(b) Stay of proceedings. 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p>
      <w:pPr>
        <w:pStyle w:val="Compact"/>
        <w:numPr>
          <w:ilvl w:val="0"/>
          <w:numId w:val="1173"/>
        </w:numPr>
      </w:pPr>
      <w:r>
        <w:t xml:space="preserve">(c) Public hearing. The board shall fix a reasonable time for the hearing of the appeal, give public notice thereof in the same manner as set forth in subsection 18-1(c) of this appendix, as well as due notice to the parties of interest, and shall render a decision within a reasonable period of time following the hearing. The hearing of any appeals shall be at a separate meeting from the hearing of any variance or special use permit applications (see Article 18), although such hearings may be held on the same day or night. At the hearing, any party may appear in person or by agent or by attorney. The officer or a designated individual of the agency, commission, or board from whom the appeal is taken shall appear before the Zoning Board of Review at the hearing to represent such agency, commission or board. Other members of the agency, commission or board may appear and be heard, but shall not represent the agency, commission or board. The cost of any notice required for the hearing shall be borne by the appellant.</w:t>
      </w:r>
    </w:p>
    <w:p>
      <w:pPr>
        <w:pStyle w:val="Compact"/>
        <w:numPr>
          <w:ilvl w:val="0"/>
          <w:numId w:val="1173"/>
        </w:numPr>
      </w:pPr>
      <w:r>
        <w:t xml:space="preserve">(d) Decision and records of the board. In exercising its powers in ruling, the board may, in conformity with the provisions of this appendix,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 The vote and recording of a decision of the board regarding an appeal shall conform to the provisions of subsections 17-9(b) and 17-10(b) of this article.</w:t>
      </w:r>
    </w:p>
    <w:bookmarkEnd w:id="169"/>
    <w:bookmarkStart w:id="170" w:name="appeals-to-superior-court"/>
    <w:p>
      <w:pPr>
        <w:pStyle w:val="Heading2"/>
      </w:pPr>
      <w:r>
        <w:t xml:space="preserve">§ 17-12. Appeals to Superior Court</w:t>
      </w:r>
    </w:p>
    <w:p>
      <w:pPr>
        <w:pStyle w:val="FirstParagraph"/>
      </w:pPr>
      <w:r>
        <w:rPr>
          <w:i/>
          <w:iCs/>
        </w:rPr>
        <w:t xml:space="preserve">[Ord. No. 08-31, 10-7-2009]</w:t>
      </w:r>
    </w:p>
    <w:p>
      <w:pPr>
        <w:pStyle w:val="BodyText"/>
      </w:pPr>
      <w:r>
        <w:t xml:space="preserve">An aggrieved party may appeal a decision of the board to the superior court for Providence County by filing a complaint setting forth the reasons of appeal within 20 days after such decision has been filed and posted with the Town Clerk. The decision shall be posted in a location visible to the public in the Town hall for a period of 20 days following the recording of the decision. The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but the court may, in its discretion, grant a stay on appropriate terms and make such other orders as it deems necessary for an equitable disposition of the appeal.</w:t>
      </w:r>
    </w:p>
    <w:bookmarkEnd w:id="170"/>
    <w:bookmarkStart w:id="171" w:name="Xe828380266c5881babaf5d1ffcc196b1104bb6c"/>
    <w:p>
      <w:pPr>
        <w:pStyle w:val="Heading2"/>
      </w:pPr>
      <w:r>
        <w:t xml:space="preserve">§ 17-13. Adoption and amendment and administration of Zoning Ordinance</w:t>
      </w:r>
    </w:p>
    <w:p>
      <w:pPr>
        <w:pStyle w:val="FirstParagraph"/>
      </w:pPr>
      <w:r>
        <w:rPr>
          <w:i/>
          <w:iCs/>
        </w:rPr>
        <w:t xml:space="preserve">[Ord. No. 08-31, 10-7-2009]</w:t>
      </w:r>
    </w:p>
    <w:p>
      <w:pPr>
        <w:pStyle w:val="Compact"/>
        <w:numPr>
          <w:ilvl w:val="0"/>
          <w:numId w:val="1174"/>
        </w:numPr>
      </w:pPr>
      <w:r>
        <w:t xml:space="preserve">(a) Procedure. Other than for proposals originated by the Town Council, the Town Clerk shall be the officer to receive a proposal for adoption or amendment or repeal of a zoning ordinance or zoning map(s). Immediately upon receipt of such proposal, the Town Clerk shall refer such proposal to the Town Council and the Planning Board for study and recommendation. If the proposal originates with the Town Council, the Town Council shall refer such proposal to the Building Official and the Planning Board. The Planning Board shall report to the Town Council within 45 days after receipt of the proposal, giving its findings and recommendations. The Town Council shall hold a public hearing within 65 days of receipt of proposal, giving proper notice as prescribed in paragraph (c) below. The Town Council shall render a decision on any such proposal within 45 days after the date of completion of the public hearing. The provisions of this subsection pertaining to deadlines shall not be construed to apply to any extension consented to by the applicant.</w:t>
      </w:r>
    </w:p>
    <w:p>
      <w:pPr>
        <w:pStyle w:val="Compact"/>
        <w:numPr>
          <w:ilvl w:val="0"/>
          <w:numId w:val="1174"/>
        </w:numPr>
      </w:pPr>
      <w:r>
        <w:t xml:space="preserve">(b) Review by Planning Board. Among its findings and recommendations to regarding the proposed amendment or repeal of this appendix or zoning map, the Planning Board shall:</w:t>
      </w:r>
    </w:p>
    <w:p>
      <w:pPr>
        <w:pStyle w:val="Compact"/>
        <w:numPr>
          <w:ilvl w:val="1"/>
          <w:numId w:val="1175"/>
        </w:numPr>
      </w:pPr>
      <w:r>
        <w:t xml:space="preserve">(1) Include a statement on the general consistency of the proposal with the comprehensive plan, including the goals and policies statement, the implementation program, and all other applicable elements of the comprehensive plan; and</w:t>
      </w:r>
    </w:p>
    <w:p>
      <w:pPr>
        <w:pStyle w:val="Compact"/>
        <w:numPr>
          <w:ilvl w:val="1"/>
          <w:numId w:val="1175"/>
        </w:numPr>
      </w:pPr>
      <w:r>
        <w:t xml:space="preserve">(2) Include a demonstration of recognition and consideration of each of the applicable purposes of zoning as presented in § 1-1 of this appendix.</w:t>
      </w:r>
    </w:p>
    <w:p>
      <w:pPr>
        <w:pStyle w:val="Compact"/>
        <w:numPr>
          <w:ilvl w:val="0"/>
          <w:numId w:val="1174"/>
        </w:numPr>
      </w:pPr>
      <w:r>
        <w:t xml:space="preserve">(c) Hearing and notice requirements.</w:t>
      </w:r>
    </w:p>
    <w:p>
      <w:pPr>
        <w:pStyle w:val="Compact"/>
        <w:numPr>
          <w:ilvl w:val="1"/>
          <w:numId w:val="1176"/>
        </w:numPr>
      </w:pPr>
      <w:r>
        <w:t xml:space="preserve">(1) 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 consecutive weeks prior to the date of such hearing, which may include the week in which the hearing is to be held, at which hearing opportunity shall be given to all persons interested to be heard upon the matter to the proposed ordinance. Written notice, which may be a copy of said newspaper notice, shall be mailed by registered or certified mail to the associate director of the Division of Planning of the Rhode Island Department of Administration, and, where applicable, to the parties specified in Subsections (2), (3), (4) and (5) of this section, at least two weeks prior to the hearing. Such newspaper notice shall be published as a display advertisement, using a type size at least as large as the normal type size used by the newspaper in its news articles, and shall:</w:t>
      </w:r>
    </w:p>
    <w:p>
      <w:pPr>
        <w:pStyle w:val="Compact"/>
        <w:numPr>
          <w:ilvl w:val="2"/>
          <w:numId w:val="1177"/>
        </w:numPr>
      </w:pPr>
      <w:r>
        <w:t xml:space="preserve">a. Specify the place of said hearing and the date and time of its commencement;</w:t>
      </w:r>
    </w:p>
    <w:p>
      <w:pPr>
        <w:pStyle w:val="Compact"/>
        <w:numPr>
          <w:ilvl w:val="2"/>
          <w:numId w:val="1177"/>
        </w:numPr>
      </w:pPr>
      <w:r>
        <w:t xml:space="preserve">b. Indicate that adoption or amendment or repeal of a zoning the ordinance is under consideration;</w:t>
      </w:r>
    </w:p>
    <w:p>
      <w:pPr>
        <w:pStyle w:val="Compact"/>
        <w:numPr>
          <w:ilvl w:val="2"/>
          <w:numId w:val="1177"/>
        </w:numPr>
      </w:pPr>
      <w:r>
        <w:t xml:space="preserve">c. Contain a statement of the proposed amendments to the ordinance that may be printed once in its entirety, or summarize or describe the matter under consideration;</w:t>
      </w:r>
    </w:p>
    <w:p>
      <w:pPr>
        <w:pStyle w:val="Compact"/>
        <w:numPr>
          <w:ilvl w:val="2"/>
          <w:numId w:val="1177"/>
        </w:numPr>
      </w:pPr>
      <w:r>
        <w:t xml:space="preserve">d. Advise those interested where and when a copy of the matter under consideration may be obtained or examined and copied; and</w:t>
      </w:r>
    </w:p>
    <w:p>
      <w:pPr>
        <w:pStyle w:val="Compact"/>
        <w:numPr>
          <w:ilvl w:val="2"/>
          <w:numId w:val="1177"/>
        </w:numPr>
      </w:pPr>
      <w:r>
        <w:t xml:space="preserve">e.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1"/>
          <w:numId w:val="1176"/>
        </w:numPr>
      </w:pPr>
      <w:r>
        <w:t xml:space="preserve">(2) Where a proposed general amendment to an existing zoning the ordinance includes changes in an existing zoning map, public notice shall be given as required by Subsection (1) of this section.</w:t>
      </w:r>
    </w:p>
    <w:p>
      <w:pPr>
        <w:pStyle w:val="Compact"/>
        <w:numPr>
          <w:ilvl w:val="1"/>
          <w:numId w:val="1176"/>
        </w:numPr>
      </w:pPr>
      <w:r>
        <w:t xml:space="preserve">(3) Where a proposed amendment to an existing the ordinance includes a specific change in a zoning district map but does not affect districts generally, public notice shall be given as required in Subsection (1) of this section, with the additional requirements that:</w:t>
      </w:r>
    </w:p>
    <w:p>
      <w:pPr>
        <w:pStyle w:val="Compact"/>
        <w:numPr>
          <w:ilvl w:val="2"/>
          <w:numId w:val="1178"/>
        </w:numPr>
      </w:pPr>
      <w:r>
        <w:t xml:space="preserve">a. Notice shall include a map showing the existing and proposed boundaries, zoning district boundaries, and existing streets and roads and their names, and Town boundaries where appropriate; and</w:t>
      </w:r>
    </w:p>
    <w:p>
      <w:pPr>
        <w:pStyle w:val="Compact"/>
        <w:numPr>
          <w:ilvl w:val="2"/>
          <w:numId w:val="1178"/>
        </w:numPr>
      </w:pPr>
      <w:r>
        <w:t xml:space="preserve">b. Written notice of the date, time and place of the public hearing and the nature and purpose thereof shall be sent to all owners of real property whose property is located within 200 feet of the perimeter of the area proposed for change, whether within the Town of Cumberland or within an adjacent city or Town in which the property is located.</w:t>
      </w:r>
    </w:p>
    <w:p>
      <w:pPr>
        <w:pStyle w:val="Compact"/>
        <w:numPr>
          <w:ilvl w:val="1"/>
          <w:numId w:val="1176"/>
        </w:numPr>
      </w:pPr>
      <w:r>
        <w:t xml:space="preserve">(4) Notice of a public hearing shall be sent by first class mail to the city or Town Council of any city or Town to which one or more of the following pertain:</w:t>
      </w:r>
    </w:p>
    <w:p>
      <w:pPr>
        <w:pStyle w:val="Compact"/>
        <w:numPr>
          <w:ilvl w:val="2"/>
          <w:numId w:val="1179"/>
        </w:numPr>
      </w:pPr>
      <w:r>
        <w:t xml:space="preserve">a. Which is located within 200 feet of the boundary of the area proposed for change; or</w:t>
      </w:r>
    </w:p>
    <w:p>
      <w:pPr>
        <w:pStyle w:val="Compact"/>
        <w:numPr>
          <w:ilvl w:val="2"/>
          <w:numId w:val="1179"/>
        </w:numPr>
      </w:pPr>
      <w:r>
        <w:t xml:space="preserve">b.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1"/>
          <w:numId w:val="1176"/>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company has filed with the Building Official in the Town a map survey, which shall be kept as a public record, showing areas of surface water resources and/or watersheds and parcels of land within 2,000 feet thereof.</w:t>
      </w:r>
    </w:p>
    <w:p>
      <w:pPr>
        <w:pStyle w:val="Compact"/>
        <w:numPr>
          <w:ilvl w:val="1"/>
          <w:numId w:val="1176"/>
        </w:numPr>
      </w:pPr>
      <w:r>
        <w:t xml:space="preserve">(6) No defect in the form of any notice under this section shall render any ordinance or amendment invalid, unless such defect is found to be intentional or misleading.</w:t>
      </w:r>
    </w:p>
    <w:p>
      <w:pPr>
        <w:pStyle w:val="Compact"/>
        <w:numPr>
          <w:ilvl w:val="1"/>
          <w:numId w:val="1176"/>
        </w:numPr>
      </w:pPr>
      <w:r>
        <w:t xml:space="preserve">(7) Costs of any notice required under this section shall be borne by the applicant.</w:t>
      </w:r>
    </w:p>
    <w:p>
      <w:pPr>
        <w:pStyle w:val="Compact"/>
        <w:numPr>
          <w:ilvl w:val="0"/>
          <w:numId w:val="1174"/>
        </w:numPr>
      </w:pPr>
      <w:r>
        <w:t xml:space="preserve">(d) Limitations on amendments to zoning ordinance. In granting a zoning ordinance amendment, the Town Council may limit the change to one or more of the permitted uses in the zone to which the subject land is rezoned, and impose such limitations, conditions and restrictions, including without limitation:</w:t>
      </w:r>
    </w:p>
    <w:p>
      <w:pPr>
        <w:pStyle w:val="Compact"/>
        <w:numPr>
          <w:ilvl w:val="1"/>
          <w:numId w:val="1180"/>
        </w:numPr>
      </w:pPr>
      <w:r>
        <w:t xml:space="preserve">(1) Requiring the petitioner to obtain a permit or approval from any and all federal, state or local governmental agencies having jurisdiction over the land and use, which are subject to the zoning change;</w:t>
      </w:r>
    </w:p>
    <w:p>
      <w:pPr>
        <w:pStyle w:val="Compact"/>
        <w:numPr>
          <w:ilvl w:val="1"/>
          <w:numId w:val="1180"/>
        </w:numPr>
      </w:pPr>
      <w:r>
        <w:t xml:space="preserve">(2) Relating to the effectiveness or continued effectiveness of the zoning change; and/or</w:t>
      </w:r>
    </w:p>
    <w:p>
      <w:pPr>
        <w:pStyle w:val="Compact"/>
        <w:numPr>
          <w:ilvl w:val="1"/>
          <w:numId w:val="1180"/>
        </w:numPr>
      </w:pPr>
      <w:r>
        <w:t xml:space="preserve">(3) Relating to the use of the land as it deems necessary.</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The Building Official and the Town Clerk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Town Council may, after a public hearing as herein before set forth, change the land to its original zoning use before such petition was filed. If any limitation, condition, or restriction in an ordinance amendment is held to be invalid by a court in any action, that holding shall not cause the remainder of the ordinance to be invalid.</w:t>
            </w:r>
          </w:p>
        </w:tc>
      </w:tr>
    </w:tbl>
    <w:p>
      <w:pPr>
        <w:pStyle w:val="Compact"/>
        <w:numPr>
          <w:ilvl w:val="0"/>
          <w:numId w:val="1174"/>
        </w:numPr>
      </w:pPr>
      <w:r>
        <w:t xml:space="preserve">(e) Appeal of enactment of or amendment to zoning ordinance. An appeal of the enactment of or an amendment to this appendix may be taken to the superior court for Providence County by filing a complaint within 30 days after such enactment, or amendment has become effective. The complaint shall set forth with specificity the area or areas in which the enactment or amendment does not conform to the comprehensive plan and/or the manner in which it constitutes a taking of private property without just compensation. Such appeal may be taken by an aggrieved party or by any legal resident or landowner of the Town, or by any association of residents or landowners of the Town. This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bookmarkEnd w:id="171"/>
    <w:bookmarkStart w:id="172" w:name="administration-of-zoning-ordinance"/>
    <w:p>
      <w:pPr>
        <w:pStyle w:val="Heading2"/>
      </w:pPr>
      <w:r>
        <w:t xml:space="preserve">§ 17-14. Administration of Zoning Ordinance</w:t>
      </w:r>
    </w:p>
    <w:p>
      <w:pPr>
        <w:pStyle w:val="FirstParagraph"/>
      </w:pPr>
      <w:r>
        <w:rPr>
          <w:i/>
          <w:iCs/>
        </w:rPr>
        <w:t xml:space="preserve">[Ord. No. 08-31, 10-7-2009]</w:t>
      </w:r>
    </w:p>
    <w:p>
      <w:pPr>
        <w:pStyle w:val="Compact"/>
        <w:numPr>
          <w:ilvl w:val="0"/>
          <w:numId w:val="1181"/>
        </w:numPr>
      </w:pPr>
      <w:r>
        <w:t xml:space="preserve">(a) Maintenance of zoning ordinance. The Town Clerk shall be the custodian of this zoning ordinance and zoning map or maps created thereunder, and in conjunction with the Building Official, shall be responsible for maintenance and update of the text and zoning map comprising this appendix. Changes which impact the zoning map shall be depicted on the map within 90 days of such authorized change(s). The planning department shall be responsible for review of this appendix annually, and whenever changes are made to the comprehensive plan of the Town, to identify any changes necessary and forward these changes to the Town Council.</w:t>
      </w:r>
    </w:p>
    <w:p>
      <w:pPr>
        <w:numPr>
          <w:ilvl w:val="0"/>
          <w:numId w:val="1181"/>
        </w:numPr>
      </w:pPr>
      <w:r>
        <w:t xml:space="preserve">(b) Publication and availability of zoning ordinance. Printed copies of this appendix and map(s) shall be available to the general public through the offices of the Town Clerk and the Building Official, and shall be revised to include all amendments. A reasonable charge may be made for copies to reflect printing and distribution costs.</w:t>
      </w:r>
    </w:p>
    <w:p>
      <w:pPr>
        <w:numPr>
          <w:ilvl w:val="0"/>
          <w:numId w:val="1000"/>
        </w:numPr>
      </w:pPr>
      <w:r>
        <w:t xml:space="preserve">Upon publication of this appendix and map(s), and any amendments thereto, the Town Clerk shall send a copy, without charge, to the associate director of the Division of Planning of the Department of Administration of the State of Rhode Island, and to the state law library.</w:t>
      </w:r>
    </w:p>
    <w:bookmarkEnd w:id="172"/>
    <w:bookmarkStart w:id="173" w:name="vested-rights"/>
    <w:p>
      <w:pPr>
        <w:pStyle w:val="Heading2"/>
      </w:pPr>
      <w:r>
        <w:t xml:space="preserve">§ 17-15. Vested rights</w:t>
      </w:r>
    </w:p>
    <w:p>
      <w:pPr>
        <w:pStyle w:val="FirstParagraph"/>
      </w:pPr>
      <w:r>
        <w:rPr>
          <w:i/>
          <w:iCs/>
        </w:rPr>
        <w:t xml:space="preserve">[Ord. No. 08-31, 10-7-2009]</w:t>
      </w:r>
    </w:p>
    <w:p>
      <w:pPr>
        <w:pStyle w:val="Compact"/>
        <w:numPr>
          <w:ilvl w:val="0"/>
          <w:numId w:val="1182"/>
        </w:numPr>
      </w:pPr>
      <w:r>
        <w:t xml:space="preserve">(a) Applications deemed to be substantially complete. Any application for development under this appendix, including an application for a building permit, variance, special use permit, planned development, or cluster development or under any other applicable provision or article, shall be deemed substantially complete when all required documents, including plans, together with required fees, are received by the official designated herein to receive such applications. Required documents shall include only those documents specified either by this appendix or by rules adopted and published by the permitting authority prior to the time the application is filed.</w:t>
      </w:r>
    </w:p>
    <w:p>
      <w:pPr>
        <w:pStyle w:val="Compact"/>
        <w:numPr>
          <w:ilvl w:val="0"/>
          <w:numId w:val="1182"/>
        </w:numPr>
      </w:pPr>
      <w:r>
        <w:t xml:space="preserve">(b) Applicable regulations. Any application for development under this appendix that is substantially complete prior to the enactment or amendment of this appendix shall be reviewed according to the regulations applicable in the zoning ordinance in force at the time the application was submitted. If such application is approved, the applicant must begin construction or exercise the right granted in the application if no construction is involved, not more than one year after the date of such approval. All construction must be completed not more than two years after the date of such approval, unless specifically set forth to the contrary in the original approval.</w:t>
      </w:r>
    </w:p>
    <w:bookmarkEnd w:id="173"/>
    <w:bookmarkStart w:id="174" w:name="effective-date"/>
    <w:p>
      <w:pPr>
        <w:pStyle w:val="Heading2"/>
      </w:pPr>
      <w:r>
        <w:t xml:space="preserve">§ 17-16. Effective date</w:t>
      </w:r>
    </w:p>
    <w:p>
      <w:pPr>
        <w:pStyle w:val="FirstParagraph"/>
      </w:pPr>
      <w:r>
        <w:rPr>
          <w:i/>
          <w:iCs/>
        </w:rPr>
        <w:t xml:space="preserve">[Ord. No. 08-31, 10-7-2009]</w:t>
      </w:r>
    </w:p>
    <w:p>
      <w:pPr>
        <w:pStyle w:val="BodyText"/>
      </w:pPr>
      <w:r>
        <w:t xml:space="preserve">This appendix is in effect when passed by the Town Council as of June 29, 1994, and was amended August 16, 1995, November 20, 1996, and November 4, 1998. This appendix, originally enacted June 29, 1994, and amended from time to time, shall take effect upon its adoption, and all other ordinances or parts thereof inconsistent herewith are hereby repealed.</w:t>
      </w:r>
    </w:p>
    <w:bookmarkEnd w:id="174"/>
    <w:bookmarkStart w:id="175" w:name="severability"/>
    <w:p>
      <w:pPr>
        <w:pStyle w:val="Heading2"/>
      </w:pPr>
      <w:r>
        <w:t xml:space="preserve">§ 17-17. Severability</w:t>
      </w:r>
    </w:p>
    <w:p>
      <w:pPr>
        <w:pStyle w:val="FirstParagraph"/>
      </w:pPr>
      <w:r>
        <w:rPr>
          <w:i/>
          <w:iCs/>
        </w:rPr>
        <w:t xml:space="preserve">[Ord. No. 08-31, 10-7-2009]</w:t>
      </w:r>
    </w:p>
    <w:p>
      <w:pPr>
        <w:pStyle w:val="BodyText"/>
      </w:pPr>
      <w:r>
        <w:t xml:space="preserve">If any provision of this appendix or of any rule, regulation or determination made thereunder, or the application thereof to any person, agency or circumstances, is held invalid by a court of competent jurisdiction, the remainder of this appendix or the rule, regulation, or determination and the application of such provisions to other persons, agencies, or circumstances shall not be affected thereby. The invalidity of any section or sections of this appendix shall not affect the validity of the remainder of the ordinance.</w:t>
      </w:r>
    </w:p>
    <w:bookmarkEnd w:id="175"/>
    <w:bookmarkStart w:id="176" w:name="Xdf373926288e076ac490efe9c9348fbc55892c6"/>
    <w:p>
      <w:pPr>
        <w:pStyle w:val="Heading1"/>
      </w:pPr>
      <w:r>
        <w:t xml:space="preserve">§ 18. Variances, Special Use Permits and Modifications</w:t>
      </w:r>
    </w:p>
    <w:bookmarkEnd w:id="176"/>
    <w:bookmarkStart w:id="177" w:name="X404c1f5c86fff569bc4ba4e12e865525f8f950c"/>
    <w:p>
      <w:pPr>
        <w:pStyle w:val="Heading2"/>
      </w:pPr>
      <w:r>
        <w:t xml:space="preserve">§ 18-1. Procedures for granting of a variance or special use permit</w:t>
      </w:r>
    </w:p>
    <w:p>
      <w:pPr>
        <w:pStyle w:val="FirstParagraph"/>
      </w:pPr>
      <w:r>
        <w:rPr>
          <w:i/>
          <w:iCs/>
        </w:rPr>
        <w:t xml:space="preserve">[Ord. No. 08-31, 10-7-2009; amended 12-6-2023 by Ord. No. 23-26]</w:t>
      </w:r>
    </w:p>
    <w:p>
      <w:pPr>
        <w:pStyle w:val="Compact"/>
        <w:numPr>
          <w:ilvl w:val="0"/>
          <w:numId w:val="1183"/>
        </w:numPr>
      </w:pPr>
      <w:r>
        <w:t xml:space="preserve">(a) Application. An application for relief from the literal requirements of this Zoning Ordinance because of hardship or an application for a special use permit may be made by any person, group, agency or corporation, provided that the owner or owners of the subject property must join in any application, by filing with the permitting authority an application describing the request and supported by such data and evidence as may be required. An application from a corporation must be signed by its attorney or duly authorized officer of the corporation.</w:t>
      </w:r>
    </w:p>
    <w:p>
      <w:pPr>
        <w:pStyle w:val="Compact"/>
        <w:numPr>
          <w:ilvl w:val="0"/>
          <w:numId w:val="1183"/>
        </w:numPr>
      </w:pPr>
      <w:r>
        <w:t xml:space="preserve">(b) Review by Planning Board. For applications not reviewed pursuant to unified development review, the Zoning Board shall, immediately upon receipt of an application, request that the Planning Board report its findings and recommendations, including a statement on the general consistency of the application with the goals and purposes of the comprehensive community plan of the Town Cumberland Comprehensive Plan in writing to the Board within 30 days. The finding of the Planning Board with respect to the consistency of the application with the goals and purposes of the comprehensive plan shall be recorded in the record of the Board; and the declaration of the Planning Board shall be a recognized statement of fact before the Board.</w:t>
      </w:r>
    </w:p>
    <w:p>
      <w:pPr>
        <w:pStyle w:val="Compact"/>
        <w:numPr>
          <w:ilvl w:val="0"/>
          <w:numId w:val="1183"/>
        </w:numPr>
      </w:pPr>
      <w:r>
        <w:t xml:space="preserve">(c) Hearing and Notice Requirements. The permitting authority shall hold a public hearing on any application for variance or special use permit in an expeditious manner, after receipt, in proper form, of an application. The permitting authority shall give notice of such public hearing, which notice shall include the precise location of the subject property, including the street address, and a description of the relief sought, at least 14 days prior to the date of the hearing by publication of notice in a newspaper of local circulation within the Town, which shall meet the requirements of this subsection and R.I.G.L. AA 45-24-53.</w:t>
      </w:r>
    </w:p>
    <w:p>
      <w:pPr>
        <w:pStyle w:val="Compact"/>
        <w:numPr>
          <w:ilvl w:val="0"/>
          <w:numId w:val="1183"/>
        </w:numPr>
      </w:pPr>
      <w:r>
        <w:t xml:space="preserve">(d) The same notice shall be posted in the Town Clerk's Office and one other municipal building in the Town and shall be accessible on the home page of the Town's website at least 14 days prior to the hearing. For any notice sent by first class mail, the sender of the notice shall submit a notarized affidavit to attest to such mail. The cost of newspaper and mailing notification shall be borne by the applicant.</w:t>
      </w:r>
    </w:p>
    <w:p>
      <w:pPr>
        <w:pStyle w:val="Compact"/>
        <w:numPr>
          <w:ilvl w:val="0"/>
          <w:numId w:val="1183"/>
        </w:numPr>
      </w:pPr>
      <w:r>
        <w:t xml:space="preserve">(e) Requests for dimensional and use variances and special use permits submitted under a unified development review provision of this Zoning Ordinance shall be submitted as part of the subdivision or land development application to the Administrative Officer of the Planning Board, pursuant to Article 12, Section 4. All subdivision or land development applications submitted under the unified development review provisions of this Zoning Ordinance shall have a public hearing, which shall meet the requirements of this subsection and R.I.G.L. AA 45-23-50.1(c).</w:t>
      </w:r>
    </w:p>
    <w:p>
      <w:pPr>
        <w:pStyle w:val="Compact"/>
        <w:numPr>
          <w:ilvl w:val="0"/>
          <w:numId w:val="1183"/>
        </w:numPr>
      </w:pPr>
      <w:r>
        <w:t xml:space="preserve">(f) Uses Not Listed in Table of Uses. To the extent a proposed land use is not specifically listed in Appendix B, Attachment 1, Table 1 (Use Table), the property owner may submit a written request to the Zoning Board of Review for an evaluation and determination of whether the proposed use is of a similar type, character, and intensity as a listed use requiring a special use permit. Upon such determination, the proposed use may be considered to be a use requiring a special use permit.</w:t>
      </w:r>
    </w:p>
    <w:bookmarkEnd w:id="177"/>
    <w:bookmarkStart w:id="178" w:name="granting-of-a-variance"/>
    <w:p>
      <w:pPr>
        <w:pStyle w:val="Heading2"/>
      </w:pPr>
      <w:r>
        <w:t xml:space="preserve">§ 18-2. Granting of a variance</w:t>
      </w:r>
    </w:p>
    <w:p>
      <w:pPr>
        <w:pStyle w:val="FirstParagraph"/>
      </w:pPr>
      <w:r>
        <w:rPr>
          <w:i/>
          <w:iCs/>
        </w:rPr>
        <w:t xml:space="preserve">[Ord. No. 08-31, 10-7-2009; amended 12-6-2023 by Ord. No. 23-26]</w:t>
      </w:r>
    </w:p>
    <w:p>
      <w:pPr>
        <w:pStyle w:val="Compact"/>
        <w:numPr>
          <w:ilvl w:val="0"/>
          <w:numId w:val="1184"/>
        </w:numPr>
      </w:pPr>
      <w:r>
        <w:t xml:space="preserve">(a) General Standards. In granting a variance, the Board shall require that evidence to the satisfaction of the following standards be entered into the record of the proceedings:</w:t>
      </w:r>
    </w:p>
    <w:p>
      <w:pPr>
        <w:pStyle w:val="Compact"/>
        <w:numPr>
          <w:ilvl w:val="1"/>
          <w:numId w:val="1185"/>
        </w:numPr>
      </w:pPr>
      <w:r>
        <w:t xml:space="preserve">(1) That the hardship from which the applicant seeks relief is due to the unique characteristics of the subject land or structure and not to the general characteristics of the surrounding area; and not due to a physical or economic disability of the applicant, excepting those physical disabilities addressed in R.I.G.L. AA 45-24-30(a)(16);</w:t>
      </w:r>
    </w:p>
    <w:p>
      <w:pPr>
        <w:pStyle w:val="Compact"/>
        <w:numPr>
          <w:ilvl w:val="1"/>
          <w:numId w:val="1185"/>
        </w:numPr>
      </w:pPr>
      <w:r>
        <w:t xml:space="preserve">(2) That said hardship is not the result of any prior action of the applicant; and</w:t>
      </w:r>
    </w:p>
    <w:p>
      <w:pPr>
        <w:pStyle w:val="Compact"/>
        <w:numPr>
          <w:ilvl w:val="1"/>
          <w:numId w:val="1185"/>
        </w:numPr>
      </w:pPr>
      <w:r>
        <w:t xml:space="preserve">(3) That the granting of the requested variance will not alter the general characteristic of the surrounding area or impair the intent or purpose of this Zoning Ordinance or the Town of Cumberland Comprehensive Plan.</w:t>
      </w:r>
    </w:p>
    <w:p>
      <w:pPr>
        <w:pStyle w:val="Compact"/>
        <w:numPr>
          <w:ilvl w:val="0"/>
          <w:numId w:val="1184"/>
        </w:numPr>
      </w:pPr>
      <w:r>
        <w:t xml:space="preserve">(b) The Board shall, in addition to the above standards, require that evidence be entered into the record of the proceedings showing that:</w:t>
      </w:r>
    </w:p>
    <w:p>
      <w:pPr>
        <w:pStyle w:val="Compact"/>
        <w:numPr>
          <w:ilvl w:val="1"/>
          <w:numId w:val="1186"/>
        </w:numPr>
      </w:pPr>
      <w:r>
        <w:t xml:space="preserve">(1) In granting a use variance, the subject land or structure cannot yield any beneficial use if it is required to conform to the provisions of this appendix. Nonconforming use of neighboring land or structures in the same district and permitted use of land or structures in an adjacent district shall not be considered grounds for granting a use variance.</w:t>
      </w:r>
    </w:p>
    <w:p>
      <w:pPr>
        <w:pStyle w:val="Compact"/>
        <w:numPr>
          <w:ilvl w:val="1"/>
          <w:numId w:val="1186"/>
        </w:numPr>
      </w:pPr>
      <w:r>
        <w:t xml:space="preserve">(2) In granting a dimensional variance, the hardship that will be suffered by the owner of the subject property if the dimensional variance is not granted shall amount to more than a mere inconvenience, meaning that the relief sought is minimal to a reasonable enjoyment of the permitted use to which the property is proposed to be devoted. The fact that a use may be more profitable or that a structure may be more valuable after the relief is granted shall not be grounds for relief.</w:t>
      </w:r>
    </w:p>
    <w:bookmarkEnd w:id="178"/>
    <w:bookmarkStart w:id="179" w:name="X97e529337c9c74188e986db87a298aa0ec4999a"/>
    <w:p>
      <w:pPr>
        <w:pStyle w:val="Heading2"/>
      </w:pPr>
      <w:r>
        <w:t xml:space="preserve">§ 18-3. Requirements for specific categories of special use</w:t>
      </w:r>
    </w:p>
    <w:p>
      <w:pPr>
        <w:pStyle w:val="FirstParagraph"/>
      </w:pPr>
      <w:r>
        <w:rPr>
          <w:i/>
          <w:iCs/>
        </w:rPr>
        <w:t xml:space="preserve">[Ord. No. 08-31, 10-7-2009; Ord. No. 13-01, § 1, 3-6-2013; amended 12-6-2023 by Ord. No. 23-26; 2-5-2025 by Ord. No. 24-26A; 9-3-2025 by Ord. No. 25-18; 11-19-2025 by Ord. No. 25-22A]</w:t>
      </w:r>
    </w:p>
    <w:p>
      <w:pPr>
        <w:pStyle w:val="BodyText"/>
      </w:pPr>
      <w:r>
        <w:t xml:space="preserve">The following special uses are permitted upon approval by the board, in accordance with this article. Applications for special use permits must meet the specific and objective criteria specified herein as to each use:</w:t>
      </w:r>
    </w:p>
    <w:p>
      <w:pPr>
        <w:pStyle w:val="Compact"/>
        <w:numPr>
          <w:ilvl w:val="0"/>
          <w:numId w:val="1187"/>
        </w:numPr>
      </w:pPr>
      <w:r>
        <w:t xml:space="preserve">(a) Adult Use - Books, Entertainment, Retail. The following criteria shall apply in addition to those pursuant to Article 8, Section 34.</w:t>
      </w:r>
    </w:p>
    <w:p>
      <w:pPr>
        <w:pStyle w:val="Compact"/>
        <w:numPr>
          <w:ilvl w:val="1"/>
          <w:numId w:val="1188"/>
        </w:numPr>
      </w:pPr>
      <w:r>
        <w:t xml:space="preserve">(1) No adult use shall not be located within 500 feet of any residential, agricultural or open space use or zoning district nor within 500 feet of a school, religious facility, public recreation facility, or day care center.</w:t>
      </w:r>
    </w:p>
    <w:p>
      <w:pPr>
        <w:pStyle w:val="Compact"/>
        <w:numPr>
          <w:ilvl w:val="1"/>
          <w:numId w:val="1188"/>
        </w:numPr>
      </w:pPr>
      <w:r>
        <w:t xml:space="preserve">(2) No adult use shall be located within 2,000 feet of any other adult use. Distance shall be measured from property line to property line along the shortest distance between property lines.</w:t>
      </w:r>
    </w:p>
    <w:p>
      <w:pPr>
        <w:pStyle w:val="Compact"/>
        <w:numPr>
          <w:ilvl w:val="1"/>
          <w:numId w:val="1188"/>
        </w:numPr>
      </w:pPr>
      <w:r>
        <w:t xml:space="preserve">(3) All windows, doors, openings, etc., for all adult uses shall be located, covered, screened or otherwise treated so that views of the interior of the establishment are not possible.</w:t>
      </w:r>
    </w:p>
    <w:p>
      <w:pPr>
        <w:pStyle w:val="Compact"/>
        <w:numPr>
          <w:ilvl w:val="0"/>
          <w:numId w:val="1187"/>
        </w:numPr>
      </w:pPr>
      <w:r>
        <w:t xml:space="preserve">(b) Assisted Living Facility.</w:t>
      </w:r>
    </w:p>
    <w:p>
      <w:pPr>
        <w:pStyle w:val="Compact"/>
        <w:numPr>
          <w:ilvl w:val="1"/>
          <w:numId w:val="1189"/>
        </w:numPr>
      </w:pPr>
      <w:r>
        <w:t xml:space="preserve">(1) The applicant shall provide proof of state licensing.</w:t>
      </w:r>
    </w:p>
    <w:p>
      <w:pPr>
        <w:pStyle w:val="Compact"/>
        <w:numPr>
          <w:ilvl w:val="1"/>
          <w:numId w:val="1189"/>
        </w:numPr>
      </w:pPr>
      <w:r>
        <w:t xml:space="preserve">(2) The density shall be no more than one bed per each 2,000 square feet of gross acreage of the parcel on which it is located.</w:t>
      </w:r>
    </w:p>
    <w:p>
      <w:pPr>
        <w:pStyle w:val="Compact"/>
        <w:numPr>
          <w:ilvl w:val="1"/>
          <w:numId w:val="1189"/>
        </w:numPr>
      </w:pPr>
      <w:r>
        <w:t xml:space="preserve">(3) The assisted living units shall comprise no more than 15% of the total number of units.</w:t>
      </w:r>
    </w:p>
    <w:p>
      <w:pPr>
        <w:pStyle w:val="Compact"/>
        <w:numPr>
          <w:ilvl w:val="0"/>
          <w:numId w:val="1187"/>
        </w:numPr>
      </w:pPr>
      <w:r>
        <w:t xml:space="preserve">(c) Auto Body Repair.</w:t>
      </w:r>
    </w:p>
    <w:p>
      <w:pPr>
        <w:pStyle w:val="Compact"/>
        <w:numPr>
          <w:ilvl w:val="1"/>
          <w:numId w:val="1190"/>
        </w:numPr>
      </w:pPr>
      <w:r>
        <w:t xml:space="preserve">(1) The minimum lot size shall be 20,000 square feet.</w:t>
      </w:r>
    </w:p>
    <w:p>
      <w:pPr>
        <w:pStyle w:val="Compact"/>
        <w:numPr>
          <w:ilvl w:val="1"/>
          <w:numId w:val="1190"/>
        </w:numPr>
      </w:pPr>
      <w:r>
        <w:t xml:space="preserve">(2) Buildings shall be set back at least 25 feet from the street right-of-way and at least 20 feet from any other property line.</w:t>
      </w:r>
    </w:p>
    <w:p>
      <w:pPr>
        <w:pStyle w:val="Compact"/>
        <w:numPr>
          <w:ilvl w:val="1"/>
          <w:numId w:val="1190"/>
        </w:numPr>
      </w:pPr>
      <w:r>
        <w:t xml:space="preserve">(3) The establishments shall be screened along interior side and rear lot lines with a solid wall or opaque fence, a minimum of four feet and a maximum of six feet in height.</w:t>
      </w:r>
    </w:p>
    <w:p>
      <w:pPr>
        <w:pStyle w:val="Compact"/>
        <w:numPr>
          <w:ilvl w:val="1"/>
          <w:numId w:val="1190"/>
        </w:numPr>
      </w:pPr>
      <w:r>
        <w:t xml:space="preserve">(4) All storage of all merchandise, auto parts and supplies and the repair, service and sales and/or leasing operations shall be performed within a fully-enclosed building.</w:t>
      </w:r>
    </w:p>
    <w:p>
      <w:pPr>
        <w:pStyle w:val="Compact"/>
        <w:numPr>
          <w:ilvl w:val="1"/>
          <w:numId w:val="1190"/>
        </w:numPr>
      </w:pPr>
      <w:r>
        <w:t xml:space="preserve">(5) No partially dismantled, wrecked, or unlicensed vehicles shall be stored outdoors on the premises. This standard does not apply to vehicles under repair and/or service.</w:t>
      </w:r>
    </w:p>
    <w:p>
      <w:pPr>
        <w:pStyle w:val="Compact"/>
        <w:numPr>
          <w:ilvl w:val="1"/>
          <w:numId w:val="1190"/>
        </w:numPr>
      </w:pPr>
      <w:r>
        <w:t xml:space="preserve">(6) Outside storage of vehicles intended to be repaired and/or serviced shall be limited to one vehicle for every 500 square feet of lot area.</w:t>
      </w:r>
    </w:p>
    <w:p>
      <w:pPr>
        <w:pStyle w:val="Compact"/>
        <w:numPr>
          <w:ilvl w:val="1"/>
          <w:numId w:val="1190"/>
        </w:numPr>
      </w:pPr>
      <w:r>
        <w:t xml:space="preserve">(7) No motor vehicles shall be stored and no repair and/or service work shall be conducted in the public right-of-way.</w:t>
      </w:r>
    </w:p>
    <w:p>
      <w:pPr>
        <w:pStyle w:val="Compact"/>
        <w:numPr>
          <w:ilvl w:val="1"/>
          <w:numId w:val="1190"/>
        </w:numPr>
      </w:pPr>
      <w:r>
        <w:t xml:space="preserve">(8) If washing of vehicles occurs inside or outside a building, the entire washing area shall be paved and all the water used in such washing shall be properly drained on site with no run-off onto the public right-of-way.</w:t>
      </w:r>
    </w:p>
    <w:p>
      <w:pPr>
        <w:pStyle w:val="Compact"/>
        <w:numPr>
          <w:ilvl w:val="1"/>
          <w:numId w:val="1190"/>
        </w:numPr>
      </w:pPr>
      <w:r>
        <w:t xml:space="preserve">(9) Only waterborne base coat paints shall be used in the operation of the business.</w:t>
      </w:r>
    </w:p>
    <w:p>
      <w:pPr>
        <w:pStyle w:val="Compact"/>
        <w:numPr>
          <w:ilvl w:val="1"/>
          <w:numId w:val="1190"/>
        </w:numPr>
      </w:pPr>
      <w:r>
        <w:t xml:space="preserve">(10) Only dustless sanding systems shall be used in the operation of the business.</w:t>
      </w:r>
    </w:p>
    <w:p>
      <w:pPr>
        <w:pStyle w:val="Compact"/>
        <w:numPr>
          <w:ilvl w:val="1"/>
          <w:numId w:val="1190"/>
        </w:numPr>
      </w:pPr>
      <w:r>
        <w:t xml:space="preserve">(11) No variances may be granted relating to the dimensional requirements as stated in this subsection (c).</w:t>
      </w:r>
    </w:p>
    <w:p>
      <w:pPr>
        <w:numPr>
          <w:ilvl w:val="1"/>
          <w:numId w:val="1190"/>
        </w:numPr>
      </w:pPr>
      <w:r>
        <w:t xml:space="preserve">(12) The site shall otherwise comply with landscaping requirements of the Land Development and Subdivision Regulations.</w:t>
      </w:r>
    </w:p>
    <w:p>
      <w:pPr>
        <w:numPr>
          <w:ilvl w:val="1"/>
          <w:numId w:val="1000"/>
        </w:numPr>
      </w:pPr>
      <w:r>
        <w:rPr>
          <w:i/>
          <w:iCs/>
        </w:rPr>
        <w:t xml:space="preserve">Editor's Note: See Appendix A, Land Development and Subdivision Regulations.</w:t>
      </w:r>
    </w:p>
    <w:p>
      <w:pPr>
        <w:pStyle w:val="Compact"/>
        <w:numPr>
          <w:ilvl w:val="0"/>
          <w:numId w:val="1187"/>
        </w:numPr>
      </w:pPr>
      <w:r>
        <w:t xml:space="preserve">(d) Auto Service and Gasoline Sales. Automobile service stations shall be permitted subject to Rhode Island Department of Environmental Management regulations and only when the following requirements are met.</w:t>
      </w:r>
    </w:p>
    <w:p>
      <w:pPr>
        <w:pStyle w:val="Compact"/>
        <w:numPr>
          <w:ilvl w:val="1"/>
          <w:numId w:val="1191"/>
        </w:numPr>
      </w:pPr>
      <w:r>
        <w:t xml:space="preserve">(1) Lot requirements:</w:t>
      </w:r>
    </w:p>
    <w:p>
      <w:pPr>
        <w:pStyle w:val="Compact"/>
        <w:numPr>
          <w:ilvl w:val="2"/>
          <w:numId w:val="1192"/>
        </w:numPr>
      </w:pPr>
      <w:r>
        <w:t xml:space="preserve">a. Minimum lot size shall be 20,000 square feet.</w:t>
      </w:r>
    </w:p>
    <w:p>
      <w:pPr>
        <w:pStyle w:val="Compact"/>
        <w:numPr>
          <w:ilvl w:val="2"/>
          <w:numId w:val="1192"/>
        </w:numPr>
      </w:pPr>
      <w:r>
        <w:t xml:space="preserve">b. Minimum lot depth shall be 100 feet.</w:t>
      </w:r>
    </w:p>
    <w:p>
      <w:pPr>
        <w:pStyle w:val="Compact"/>
        <w:numPr>
          <w:ilvl w:val="2"/>
          <w:numId w:val="1192"/>
        </w:numPr>
      </w:pPr>
      <w:r>
        <w:t xml:space="preserve">c. Minimum lot width and frontage shall be 100 feet.</w:t>
      </w:r>
    </w:p>
    <w:p>
      <w:pPr>
        <w:pStyle w:val="Compact"/>
        <w:numPr>
          <w:ilvl w:val="1"/>
          <w:numId w:val="1191"/>
        </w:numPr>
      </w:pPr>
      <w:r>
        <w:t xml:space="preserve">(2) Requirements for service station buildings:</w:t>
      </w:r>
    </w:p>
    <w:p>
      <w:pPr>
        <w:pStyle w:val="Compact"/>
        <w:numPr>
          <w:ilvl w:val="2"/>
          <w:numId w:val="1193"/>
        </w:numPr>
      </w:pPr>
      <w:r>
        <w:t xml:space="preserve">a. Minimum setback from all street lines shall be 40 feet.</w:t>
      </w:r>
    </w:p>
    <w:p>
      <w:pPr>
        <w:pStyle w:val="Compact"/>
        <w:numPr>
          <w:ilvl w:val="2"/>
          <w:numId w:val="1193"/>
        </w:numPr>
      </w:pPr>
      <w:r>
        <w:t xml:space="preserve">b. Minimum setback from all interior lot lines shall be 20 feet.</w:t>
      </w:r>
    </w:p>
    <w:p>
      <w:pPr>
        <w:pStyle w:val="Compact"/>
        <w:numPr>
          <w:ilvl w:val="1"/>
          <w:numId w:val="1191"/>
        </w:numPr>
      </w:pPr>
      <w:r>
        <w:t xml:space="preserve">(3) Requirements for driveways:</w:t>
      </w:r>
    </w:p>
    <w:p>
      <w:pPr>
        <w:pStyle w:val="Compact"/>
        <w:numPr>
          <w:ilvl w:val="2"/>
          <w:numId w:val="1194"/>
        </w:numPr>
      </w:pPr>
      <w:r>
        <w:t xml:space="preserve">a. Minimum distance between access driveways shall be 20 feet.</w:t>
      </w:r>
    </w:p>
    <w:p>
      <w:pPr>
        <w:pStyle w:val="Compact"/>
        <w:numPr>
          <w:ilvl w:val="2"/>
          <w:numId w:val="1194"/>
        </w:numPr>
      </w:pPr>
      <w:r>
        <w:t xml:space="preserve">b. Maximum width for curb cuts shall be 25 feet.</w:t>
      </w:r>
    </w:p>
    <w:p>
      <w:pPr>
        <w:pStyle w:val="Compact"/>
        <w:numPr>
          <w:ilvl w:val="2"/>
          <w:numId w:val="1194"/>
        </w:numPr>
      </w:pPr>
      <w:r>
        <w:t xml:space="preserve">c. For a corner lot, curb cuts are restricted to one curb cut for every 50 feet of street frontage.</w:t>
      </w:r>
    </w:p>
    <w:p>
      <w:pPr>
        <w:pStyle w:val="Compact"/>
        <w:numPr>
          <w:ilvl w:val="1"/>
          <w:numId w:val="1191"/>
        </w:numPr>
      </w:pPr>
      <w:r>
        <w:t xml:space="preserve">(4) Requirements for other structures:</w:t>
      </w:r>
    </w:p>
    <w:p>
      <w:pPr>
        <w:pStyle w:val="Compact"/>
        <w:numPr>
          <w:ilvl w:val="2"/>
          <w:numId w:val="1195"/>
        </w:numPr>
      </w:pPr>
      <w:r>
        <w:t xml:space="preserve">a. Minimum distance between pump islands, compressed air connections and similar equipment and any street or property lines shall be 20 feet.</w:t>
      </w:r>
    </w:p>
    <w:p>
      <w:pPr>
        <w:pStyle w:val="Compact"/>
        <w:numPr>
          <w:ilvl w:val="2"/>
          <w:numId w:val="1195"/>
        </w:numPr>
      </w:pPr>
      <w:r>
        <w:t xml:space="preserve">b. Minimum distance between the canopy and the street line shall be 12 feet.</w:t>
      </w:r>
    </w:p>
    <w:p>
      <w:pPr>
        <w:pStyle w:val="Compact"/>
        <w:numPr>
          <w:ilvl w:val="2"/>
          <w:numId w:val="1195"/>
        </w:numPr>
      </w:pPr>
      <w:r>
        <w:t xml:space="preserve">c. Minimum distance between any canopy and any interior lot line shall be 20 feet.</w:t>
      </w:r>
    </w:p>
    <w:p>
      <w:pPr>
        <w:pStyle w:val="Compact"/>
        <w:numPr>
          <w:ilvl w:val="1"/>
          <w:numId w:val="1191"/>
        </w:numPr>
      </w:pPr>
      <w:r>
        <w:t xml:space="preserve">(5) Requirements for underground tanks:</w:t>
      </w:r>
    </w:p>
    <w:p>
      <w:pPr>
        <w:pStyle w:val="Compact"/>
        <w:numPr>
          <w:ilvl w:val="2"/>
          <w:numId w:val="1196"/>
        </w:numPr>
      </w:pPr>
      <w:r>
        <w:t xml:space="preserve">a. Maximum storage capacity for petroleum products shall be 42,000 gallons.</w:t>
      </w:r>
    </w:p>
    <w:p>
      <w:pPr>
        <w:pStyle w:val="Compact"/>
        <w:numPr>
          <w:ilvl w:val="2"/>
          <w:numId w:val="1196"/>
        </w:numPr>
      </w:pPr>
      <w:r>
        <w:t xml:space="preserve">b. Minimum separation distance required between underground tanks, adjoining buildings and property lines should be 10 feet. Service station buildings are exempt from the separation distance requirement if there are no basements or pits that extend below the top of any tank within the separation distance.</w:t>
      </w:r>
    </w:p>
    <w:p>
      <w:pPr>
        <w:pStyle w:val="Compact"/>
        <w:numPr>
          <w:ilvl w:val="1"/>
          <w:numId w:val="1191"/>
        </w:numPr>
      </w:pPr>
      <w:r>
        <w:t xml:space="preserve">(6) Requirements for repairing and washing vehicles.</w:t>
      </w:r>
    </w:p>
    <w:p>
      <w:pPr>
        <w:pStyle w:val="Compact"/>
        <w:numPr>
          <w:ilvl w:val="2"/>
          <w:numId w:val="1197"/>
        </w:numPr>
      </w:pPr>
      <w:r>
        <w:t xml:space="preserve">a. Repairing shall be limited to minor repair work, such as tire or tube repairing, battery changing, lubrication, engine tune-ups and similar type work, and must be conducted wholly within a fully-enclosed building.</w:t>
      </w:r>
    </w:p>
    <w:p>
      <w:pPr>
        <w:pStyle w:val="Compact"/>
        <w:numPr>
          <w:ilvl w:val="2"/>
          <w:numId w:val="1197"/>
        </w:numPr>
      </w:pPr>
      <w:r>
        <w:t xml:space="preserve">b. Repair work shall not include any bodywork.</w:t>
      </w:r>
    </w:p>
    <w:p>
      <w:pPr>
        <w:pStyle w:val="Compact"/>
        <w:numPr>
          <w:ilvl w:val="2"/>
          <w:numId w:val="1197"/>
        </w:numPr>
      </w:pPr>
      <w:r>
        <w:t xml:space="preserve">c. No partially dismantled, wrecked, or unlicensed vehicles shall be stored outdoors on the premises. This standard does not apply to vehicles under repair and/or service.</w:t>
      </w:r>
    </w:p>
    <w:p>
      <w:pPr>
        <w:pStyle w:val="Compact"/>
        <w:numPr>
          <w:ilvl w:val="2"/>
          <w:numId w:val="1197"/>
        </w:numPr>
      </w:pPr>
      <w:r>
        <w:t xml:space="preserve">d. Storage of all merchandise, auto parts and supplies shall be conducted wholly within a fully-enclosed building.</w:t>
      </w:r>
    </w:p>
    <w:p>
      <w:pPr>
        <w:pStyle w:val="Compact"/>
        <w:numPr>
          <w:ilvl w:val="2"/>
          <w:numId w:val="1197"/>
        </w:numPr>
      </w:pPr>
      <w:r>
        <w:t xml:space="preserve">e. No motor vehicles shall be stored and no repair and/or service work shall be conducted in the public right-of-way.</w:t>
      </w:r>
    </w:p>
    <w:p>
      <w:pPr>
        <w:pStyle w:val="Compact"/>
        <w:numPr>
          <w:ilvl w:val="2"/>
          <w:numId w:val="1197"/>
        </w:numPr>
      </w:pPr>
      <w:r>
        <w:t xml:space="preserve">f. If washing of vehicles occurs inside or outside a building, the entire washing area shall be paved and all the water used in such washing shall be properly drained on site with no run-off onto the public right-of-way. All outdoor activities shall be screened from adjoining A and R zones by a four-foot-high compact evergreen screen or tight board fence.</w:t>
      </w:r>
    </w:p>
    <w:p>
      <w:pPr>
        <w:pStyle w:val="Compact"/>
        <w:numPr>
          <w:ilvl w:val="1"/>
          <w:numId w:val="1191"/>
        </w:numPr>
      </w:pPr>
      <w:r>
        <w:t xml:space="preserve">(7) Vehicle services establishments shall be screened along interior side and rear lot lines with a solid wall or fence, a minimum of four feet and a maximum of six feet in height.</w:t>
      </w:r>
    </w:p>
    <w:p>
      <w:pPr>
        <w:pStyle w:val="Compact"/>
        <w:numPr>
          <w:ilvl w:val="1"/>
          <w:numId w:val="1191"/>
        </w:numPr>
      </w:pPr>
      <w:r>
        <w:t xml:space="preserve">(8) The site shall otherwise comply with landscaping requirements of these Regulations.</w:t>
      </w:r>
    </w:p>
    <w:p>
      <w:pPr>
        <w:pStyle w:val="Compact"/>
        <w:numPr>
          <w:ilvl w:val="1"/>
          <w:numId w:val="1191"/>
        </w:numPr>
      </w:pPr>
      <w:r>
        <w:t xml:space="preserve">(9) Outside storage of vehicles intended to be repaired shall be limited to one vehicle for every 500 square feet of lot area.</w:t>
      </w:r>
    </w:p>
    <w:p>
      <w:pPr>
        <w:pStyle w:val="Compact"/>
        <w:numPr>
          <w:ilvl w:val="1"/>
          <w:numId w:val="1191"/>
        </w:numPr>
      </w:pPr>
      <w:r>
        <w:t xml:space="preserve">(10) Electric vehicle charging stations may be included as an accessory use to a gas station but may not be counted toward parking requirements.</w:t>
      </w:r>
    </w:p>
    <w:p>
      <w:pPr>
        <w:pStyle w:val="Compact"/>
        <w:numPr>
          <w:ilvl w:val="0"/>
          <w:numId w:val="1187"/>
        </w:numPr>
      </w:pPr>
      <w:r>
        <w:t xml:space="preserve">(e) Car Wash.</w:t>
      </w:r>
    </w:p>
    <w:p>
      <w:pPr>
        <w:pStyle w:val="Compact"/>
        <w:numPr>
          <w:ilvl w:val="1"/>
          <w:numId w:val="1198"/>
        </w:numPr>
      </w:pPr>
      <w:r>
        <w:t xml:space="preserve">(1) Car wash facilities shall be screened along interior side and rear lot lines with a solid fence or wall, a minimum of four feet and a maximum of six feet in height. One shrub, a minimum of three feet in height at time of planting, shall be planted linearly every three feet on center along such fence or wall.</w:t>
      </w:r>
    </w:p>
    <w:p>
      <w:pPr>
        <w:pStyle w:val="Compact"/>
        <w:numPr>
          <w:ilvl w:val="1"/>
          <w:numId w:val="1198"/>
        </w:numPr>
      </w:pPr>
      <w:r>
        <w:t xml:space="preserve">(2) When a car wash facility abuts a residential, agricultural, or open space use or zoning district, the facility shall adhere to the buffer requirements in this appendix.</w:t>
      </w:r>
    </w:p>
    <w:p>
      <w:pPr>
        <w:pStyle w:val="Compact"/>
        <w:numPr>
          <w:ilvl w:val="1"/>
          <w:numId w:val="1198"/>
        </w:numPr>
      </w:pPr>
      <w:r>
        <w:t xml:space="preserve">(3) When vacuums are included on the site, they shall include mufflers to reduce the sound of the equipment to a maximum of 80 decibels.</w:t>
      </w:r>
    </w:p>
    <w:p>
      <w:pPr>
        <w:pStyle w:val="Compact"/>
        <w:numPr>
          <w:ilvl w:val="1"/>
          <w:numId w:val="1198"/>
        </w:numPr>
      </w:pPr>
      <w:r>
        <w:t xml:space="preserve">(4) Trash receptacles shall be placed near all vacuum stations as applicable and at the entrance to the car wash entrance.</w:t>
      </w:r>
    </w:p>
    <w:p>
      <w:pPr>
        <w:pStyle w:val="Compact"/>
        <w:numPr>
          <w:ilvl w:val="1"/>
          <w:numId w:val="1198"/>
        </w:numPr>
      </w:pPr>
      <w:r>
        <w:t xml:space="preserve">(5) Outside storage of vehicles intended to be repaired shall be limited to one vehicle for every 500 square feet of lot area.</w:t>
      </w:r>
    </w:p>
    <w:p>
      <w:pPr>
        <w:pStyle w:val="Compact"/>
        <w:numPr>
          <w:ilvl w:val="0"/>
          <w:numId w:val="1187"/>
        </w:numPr>
      </w:pPr>
      <w:r>
        <w:t xml:space="preserve">(f) Communications and Utilities.</w:t>
      </w:r>
    </w:p>
    <w:p>
      <w:pPr>
        <w:pStyle w:val="Compact"/>
        <w:numPr>
          <w:ilvl w:val="1"/>
          <w:numId w:val="1199"/>
        </w:numPr>
      </w:pPr>
      <w:r>
        <w:t xml:space="preserve">(1) The property shall be completely enclosed along all lot lines by an opaque fence a minimum of four feet and a maximum of six feet in height, including ingress and egress. Where buildings are proposed, they should be located along the street frontage, meeting setback requirements. Otherwise, screening the operation from the street, which may include fences, tall vegetation, or walls along the front, is required.</w:t>
      </w:r>
    </w:p>
    <w:p>
      <w:pPr>
        <w:pStyle w:val="Compact"/>
        <w:numPr>
          <w:ilvl w:val="1"/>
          <w:numId w:val="1199"/>
        </w:numPr>
      </w:pPr>
      <w:r>
        <w:t xml:space="preserve">(2) Where the use abuts a residential use or zoning district, the fence shall be set back a minimum of 20 feet from each such lot line abutting a residential use or zoning district.</w:t>
      </w:r>
    </w:p>
    <w:p>
      <w:pPr>
        <w:pStyle w:val="Compact"/>
        <w:numPr>
          <w:ilvl w:val="0"/>
          <w:numId w:val="1187"/>
        </w:numPr>
      </w:pPr>
      <w:r>
        <w:t xml:space="preserve">(g) Communication Towers. It is the intent of this section to encourage, where appropriate, the location of antennae on existing structures, as well as the joint use (co-location) of new and existing towers with the goal of minimizing the number of poles while providing for "seamless" or complete coverage. It is also the intent of this section to facilitate the use of public property and structures for the siting of towers and antennae.</w:t>
      </w:r>
    </w:p>
    <w:p>
      <w:pPr>
        <w:pStyle w:val="Compact"/>
        <w:numPr>
          <w:ilvl w:val="1"/>
          <w:numId w:val="1200"/>
        </w:numPr>
      </w:pPr>
      <w:r>
        <w:t xml:space="preserve">(1) The application shall also include a narrative report and supplemental information which contains the following:</w:t>
      </w:r>
    </w:p>
    <w:p>
      <w:pPr>
        <w:pStyle w:val="Compact"/>
        <w:numPr>
          <w:ilvl w:val="2"/>
          <w:numId w:val="1201"/>
        </w:numPr>
      </w:pPr>
      <w:r>
        <w:t xml:space="preserve">a. An explanation of the technical, economic and other reasons for the design and placement of the tower, including its area of coverage.</w:t>
      </w:r>
    </w:p>
    <w:p>
      <w:pPr>
        <w:pStyle w:val="Compact"/>
        <w:numPr>
          <w:ilvl w:val="2"/>
          <w:numId w:val="1201"/>
        </w:numPr>
      </w:pPr>
      <w:r>
        <w:t xml:space="preserve">b. An inventory of existing towers, or sites approved for towers, that are within the jurisdiction of the Town or within one mile of the Town's border thereof, including specific information about the location, height and design of each tower, and its area of coverage.</w:t>
      </w:r>
    </w:p>
    <w:p>
      <w:pPr>
        <w:pStyle w:val="Compact"/>
        <w:numPr>
          <w:ilvl w:val="2"/>
          <w:numId w:val="1201"/>
        </w:numPr>
      </w:pPr>
      <w:r>
        <w:t xml:space="preserve">c. A certification of structural integrity from a professional engineer registered by the State of Rhode Island.</w:t>
      </w:r>
    </w:p>
    <w:p>
      <w:pPr>
        <w:pStyle w:val="Compact"/>
        <w:numPr>
          <w:ilvl w:val="2"/>
          <w:numId w:val="1201"/>
        </w:numPr>
      </w:pPr>
      <w:r>
        <w:t xml:space="preserve">d. Evidence that the applicant has made all reasonable efforts to utilize existing substantial structures for cellular antennae and that no other structures are reasonably available within the area sought by the applicant to produce adequate communications coverage.</w:t>
      </w:r>
    </w:p>
    <w:p>
      <w:pPr>
        <w:pStyle w:val="Compact"/>
        <w:numPr>
          <w:ilvl w:val="2"/>
          <w:numId w:val="1201"/>
        </w:numPr>
      </w:pPr>
      <w:r>
        <w:t xml:space="preserve">e. An explanation of how the site will be designed to co-locate future carriers and how many carriers can be technically accommodated, as well as a statement that if the site can physically support co-location and the additional carrier is willing to sign a commercially reasonable lease, it shall be allowed to co-locate.</w:t>
      </w:r>
    </w:p>
    <w:p>
      <w:pPr>
        <w:pStyle w:val="Compact"/>
        <w:numPr>
          <w:ilvl w:val="1"/>
          <w:numId w:val="1200"/>
        </w:numPr>
      </w:pPr>
      <w:r>
        <w:t xml:space="preserve">(2) The applicant shall also submit a surety of an amount equal to the cost of removal of the tower and all ancillary equipment in the event that use of the tower is discontinued. The surety amount shall be approved by the permitting authority in consultation with the Public Works Director.</w:t>
      </w:r>
    </w:p>
    <w:p>
      <w:pPr>
        <w:pStyle w:val="Compact"/>
        <w:numPr>
          <w:ilvl w:val="1"/>
          <w:numId w:val="1200"/>
        </w:numPr>
      </w:pPr>
      <w:r>
        <w:t xml:space="preserve">(3) Public safety requirements. At the time of application for any communication tower, space shall be made available on the tower for Town police, fire, rescue and public works communication needs related to public safety, health and welfare, at no cost to the Town. The communication tower owner and wireless service carriers shall assist the Town, when deemed necessary, in the enhancement of existing public safety communication systems by providing for the acquisition and installation of related equipment.</w:t>
      </w:r>
    </w:p>
    <w:p>
      <w:pPr>
        <w:pStyle w:val="Compact"/>
        <w:numPr>
          <w:ilvl w:val="1"/>
          <w:numId w:val="1200"/>
        </w:numPr>
      </w:pPr>
      <w:r>
        <w:t xml:space="preserve">(4) Development standards. The following shall be specifically applied to all communication towers:</w:t>
      </w:r>
    </w:p>
    <w:p>
      <w:pPr>
        <w:pStyle w:val="Compact"/>
        <w:numPr>
          <w:ilvl w:val="2"/>
          <w:numId w:val="1202"/>
        </w:numPr>
      </w:pPr>
      <w:r>
        <w:t xml:space="preserve">a. Whether erected on an existing building or erected as a separate structure, the tower shall be integrated through location and design to be compatible with the existing characteristics of the site to the extent practical.</w:t>
      </w:r>
    </w:p>
    <w:p>
      <w:pPr>
        <w:pStyle w:val="Compact"/>
        <w:numPr>
          <w:ilvl w:val="2"/>
          <w:numId w:val="1202"/>
        </w:numPr>
      </w:pPr>
      <w:r>
        <w:t xml:space="preserve">b. No freestanding communications tower shall exceed 150 feet in height.</w:t>
      </w:r>
    </w:p>
    <w:p>
      <w:pPr>
        <w:pStyle w:val="Compact"/>
        <w:numPr>
          <w:ilvl w:val="2"/>
          <w:numId w:val="1202"/>
        </w:numPr>
      </w:pPr>
      <w:r>
        <w:t xml:space="preserve">c. The distance between the base of the tower or pole and any parcel boundary shall not be less than one foot distance for every one foot of tower height, plus an additional 15% of the total height of the tower added to the lineal distance from the property boundary.</w:t>
      </w:r>
    </w:p>
    <w:p>
      <w:pPr>
        <w:pStyle w:val="Compact"/>
        <w:numPr>
          <w:ilvl w:val="2"/>
          <w:numId w:val="1202"/>
        </w:numPr>
      </w:pPr>
      <w:r>
        <w:t xml:space="preserve">d. Removal of on-site vegetation and changes to existing topography shall be minimized.</w:t>
      </w:r>
    </w:p>
    <w:p>
      <w:pPr>
        <w:pStyle w:val="Compact"/>
        <w:numPr>
          <w:ilvl w:val="2"/>
          <w:numId w:val="1202"/>
        </w:numPr>
      </w:pPr>
      <w:r>
        <w:t xml:space="preserve">e. Towers shall be enclosed by a protective fence not less than eight feet nor more than 10 feet in height from the natural grade.</w:t>
      </w:r>
    </w:p>
    <w:p>
      <w:pPr>
        <w:pStyle w:val="Compact"/>
        <w:numPr>
          <w:ilvl w:val="2"/>
          <w:numId w:val="1202"/>
        </w:numPr>
      </w:pPr>
      <w:r>
        <w:t xml:space="preserve">f. Appropriate screening, including use of trees and other vegetation, shall be installed at all tower sites to screen views from adjacent properties and streets.</w:t>
      </w:r>
    </w:p>
    <w:p>
      <w:pPr>
        <w:pStyle w:val="Compact"/>
        <w:numPr>
          <w:ilvl w:val="2"/>
          <w:numId w:val="1202"/>
        </w:numPr>
      </w:pPr>
      <w:r>
        <w:t xml:space="preserve">g. Towers shall be neutral in appearance, and related structures shall blend in with the surrounding environment through the use of appropriate design, materials and colors.</w:t>
      </w:r>
    </w:p>
    <w:p>
      <w:pPr>
        <w:pStyle w:val="Compact"/>
        <w:numPr>
          <w:ilvl w:val="2"/>
          <w:numId w:val="1202"/>
        </w:numPr>
      </w:pPr>
      <w:r>
        <w:t xml:space="preserve">h. No tower shall be artificially lighted except as required by the Federal Aviation Commission.</w:t>
      </w:r>
    </w:p>
    <w:p>
      <w:pPr>
        <w:pStyle w:val="Compact"/>
        <w:numPr>
          <w:ilvl w:val="2"/>
          <w:numId w:val="1202"/>
        </w:numPr>
      </w:pPr>
      <w:r>
        <w:t xml:space="preserve">i. There shall be a minimum setback of 50 feet from any residential property line and, where the use is a freestanding tower, a minimum of 50 feet at least as far back from lot lines as the height of the structure.</w:t>
      </w:r>
    </w:p>
    <w:p>
      <w:pPr>
        <w:pStyle w:val="Compact"/>
        <w:numPr>
          <w:ilvl w:val="1"/>
          <w:numId w:val="1200"/>
        </w:numPr>
      </w:pPr>
      <w:r>
        <w:t xml:space="preserve">(5) Site and coverage consideration.</w:t>
      </w:r>
    </w:p>
    <w:p>
      <w:pPr>
        <w:pStyle w:val="Compact"/>
        <w:numPr>
          <w:ilvl w:val="2"/>
          <w:numId w:val="1203"/>
        </w:numPr>
      </w:pPr>
      <w:r>
        <w:t xml:space="preserve">a. Town owned sites or facilities that are located in the prospective coverage area which could potentially accommodate the proposed tower or antennae shall be considered first and given priority for location of said tower or antennae.</w:t>
      </w:r>
    </w:p>
    <w:p>
      <w:pPr>
        <w:pStyle w:val="Compact"/>
        <w:numPr>
          <w:ilvl w:val="2"/>
          <w:numId w:val="1203"/>
        </w:numPr>
      </w:pPr>
      <w:r>
        <w:t xml:space="preserve">b. When considering an application for a communication tower. The permitting authority shall evaluate the context of the site under consideration, including the underlying zoning, uses of the property, uses and activities on adjoining properties, maximization of co-location on the proposed facility and compatibility of the proposed tower/facility with the area in which it is located.</w:t>
      </w:r>
    </w:p>
    <w:p>
      <w:pPr>
        <w:pStyle w:val="Compact"/>
        <w:numPr>
          <w:ilvl w:val="2"/>
          <w:numId w:val="1203"/>
        </w:numPr>
      </w:pPr>
      <w:r>
        <w:t xml:space="preserve">c. No new communications tower shall be erected within the unobstructed service range of an existing tower or where telecommunications coverage is otherwise provided.</w:t>
      </w:r>
    </w:p>
    <w:p>
      <w:pPr>
        <w:pStyle w:val="Compact"/>
        <w:numPr>
          <w:ilvl w:val="2"/>
          <w:numId w:val="1203"/>
        </w:numPr>
      </w:pPr>
      <w:r>
        <w:t xml:space="preserve">d. Evidence that the area of Town to be serviced by the tower already has complete telecommunications coverage can be grounds for denial of the special use permit.</w:t>
      </w:r>
    </w:p>
    <w:p>
      <w:pPr>
        <w:pStyle w:val="Compact"/>
        <w:numPr>
          <w:ilvl w:val="2"/>
          <w:numId w:val="1203"/>
        </w:numPr>
      </w:pPr>
      <w:r>
        <w:t xml:space="preserve">e. Abandonment of communication towers. Any communication tower that has not been used for a period of one year shall be considered to be abandoned and it and all ancillary equipment shall be dismantled and removed at the owner's expense. The owner of such facility shall have 90 days from the receipt of notice from the Building Official to complete removal. Failure shall be considered a violation of this appendix and subject to the penalties and enforcement actions contained in AA 17-5.</w:t>
      </w:r>
    </w:p>
    <w:p>
      <w:pPr>
        <w:pStyle w:val="Compact"/>
        <w:numPr>
          <w:ilvl w:val="0"/>
          <w:numId w:val="1187"/>
        </w:numPr>
      </w:pPr>
      <w:r>
        <w:t xml:space="preserve">(h) Contract Construction Service, Including Outdoor Storage.</w:t>
      </w:r>
    </w:p>
    <w:p>
      <w:pPr>
        <w:pStyle w:val="Compact"/>
        <w:numPr>
          <w:ilvl w:val="1"/>
          <w:numId w:val="1204"/>
        </w:numPr>
      </w:pPr>
      <w:r>
        <w:t xml:space="preserve">(1) The outdoor storage area shall be screened with a solid fence or wall, a minimum of four feet and a maximum of six feet in height. One shrub, a minimum of three feet in height at time of planting, shall be planted linearly every three feet on center along the outside of such fence or wall.</w:t>
      </w:r>
    </w:p>
    <w:p>
      <w:pPr>
        <w:pStyle w:val="Compact"/>
        <w:numPr>
          <w:ilvl w:val="1"/>
          <w:numId w:val="1204"/>
        </w:numPr>
      </w:pPr>
      <w:r>
        <w:t xml:space="preserve">(2) Where the use abuts a residential, agricultural or open space use or zoning district, the property shall adhere to the buffer requirements in this appendix.</w:t>
      </w:r>
    </w:p>
    <w:p>
      <w:pPr>
        <w:pStyle w:val="Compact"/>
        <w:numPr>
          <w:ilvl w:val="0"/>
          <w:numId w:val="1187"/>
        </w:numPr>
      </w:pPr>
      <w:r>
        <w:t xml:space="preserve">(i) Day Care Center.</w:t>
      </w:r>
    </w:p>
    <w:p>
      <w:pPr>
        <w:pStyle w:val="Compact"/>
        <w:numPr>
          <w:ilvl w:val="1"/>
          <w:numId w:val="1205"/>
        </w:numPr>
      </w:pPr>
      <w:r>
        <w:t xml:space="preserve">(1) The applicant shall provide proof of state licensing.</w:t>
      </w:r>
    </w:p>
    <w:p>
      <w:pPr>
        <w:pStyle w:val="Compact"/>
        <w:numPr>
          <w:ilvl w:val="1"/>
          <w:numId w:val="1205"/>
        </w:numPr>
      </w:pPr>
      <w:r>
        <w:t xml:space="preserve">(2) There shall be a designated pick up and drop off area near an entrance to the building with a queuing lane that does not block vehicle parking spaces or extend into the street.</w:t>
      </w:r>
    </w:p>
    <w:p>
      <w:pPr>
        <w:pStyle w:val="Compact"/>
        <w:numPr>
          <w:ilvl w:val="1"/>
          <w:numId w:val="1205"/>
        </w:numPr>
      </w:pPr>
      <w:r>
        <w:t xml:space="preserve">(3) The parking plan shall provide safe pedestrian circulation with clearly marked crosswalks from each parking area to the building entrance(s).</w:t>
      </w:r>
    </w:p>
    <w:p>
      <w:pPr>
        <w:pStyle w:val="Compact"/>
        <w:numPr>
          <w:ilvl w:val="1"/>
          <w:numId w:val="1205"/>
        </w:numPr>
      </w:pPr>
      <w:r>
        <w:t xml:space="preserve">(4) Minimum lot size shall be 30,000 square feet.</w:t>
      </w:r>
    </w:p>
    <w:p>
      <w:pPr>
        <w:pStyle w:val="Compact"/>
        <w:numPr>
          <w:ilvl w:val="1"/>
          <w:numId w:val="1205"/>
        </w:numPr>
      </w:pPr>
      <w:r>
        <w:t xml:space="preserve">(5) Building and outside play area setbacks in residential zones:</w:t>
      </w:r>
    </w:p>
    <w:p>
      <w:pPr>
        <w:pStyle w:val="Compact"/>
        <w:numPr>
          <w:ilvl w:val="2"/>
          <w:numId w:val="1206"/>
        </w:numPr>
      </w:pPr>
      <w:r>
        <w:t xml:space="preserve">a. Minimum setback from all street lines shall be 40 feet.</w:t>
      </w:r>
    </w:p>
    <w:p>
      <w:pPr>
        <w:pStyle w:val="Compact"/>
        <w:numPr>
          <w:ilvl w:val="2"/>
          <w:numId w:val="1206"/>
        </w:numPr>
      </w:pPr>
      <w:r>
        <w:t xml:space="preserve">b. Minimum setback from all side lot lines shall be 20 feet.</w:t>
      </w:r>
    </w:p>
    <w:p>
      <w:pPr>
        <w:pStyle w:val="Compact"/>
        <w:numPr>
          <w:ilvl w:val="2"/>
          <w:numId w:val="1206"/>
        </w:numPr>
      </w:pPr>
      <w:r>
        <w:t xml:space="preserve">c. Minimum setback from rear lot lines shall be 30 feet.</w:t>
      </w:r>
    </w:p>
    <w:p>
      <w:pPr>
        <w:pStyle w:val="Compact"/>
        <w:numPr>
          <w:ilvl w:val="1"/>
          <w:numId w:val="1205"/>
        </w:numPr>
      </w:pPr>
      <w:r>
        <w:t xml:space="preserve">(6) Setbacks in agricultural zones shall conform to those found in Article 5.</w:t>
      </w:r>
    </w:p>
    <w:p>
      <w:pPr>
        <w:pStyle w:val="Compact"/>
        <w:numPr>
          <w:ilvl w:val="1"/>
          <w:numId w:val="1205"/>
        </w:numPr>
      </w:pPr>
      <w:r>
        <w:t xml:space="preserve">(7) Requirements for parking. Minimum of one space per 250 square feet of GFA, plus one space per employee.</w:t>
      </w:r>
    </w:p>
    <w:p>
      <w:pPr>
        <w:pStyle w:val="Compact"/>
        <w:numPr>
          <w:ilvl w:val="1"/>
          <w:numId w:val="1205"/>
        </w:numPr>
      </w:pPr>
      <w:r>
        <w:t xml:space="preserve">(8) The facility shall be located on a principal or minor arterial roadway as defined in the R.I. Statewide Planning's Highway Functional Classification System.</w:t>
      </w:r>
    </w:p>
    <w:p>
      <w:pPr>
        <w:pStyle w:val="Compact"/>
        <w:numPr>
          <w:ilvl w:val="0"/>
          <w:numId w:val="1187"/>
        </w:numPr>
      </w:pPr>
      <w:r>
        <w:t xml:space="preserve">(j) Drive-Through Service.</w:t>
      </w:r>
    </w:p>
    <w:p>
      <w:pPr>
        <w:pStyle w:val="Compact"/>
        <w:numPr>
          <w:ilvl w:val="1"/>
          <w:numId w:val="1207"/>
        </w:numPr>
      </w:pPr>
      <w:r>
        <w:t xml:space="preserve">(1) All drive-through facilities shall provide a minimum of on-site stacking/queuing spaces as follows:</w:t>
      </w:r>
    </w:p>
    <w:p>
      <w:pPr>
        <w:pStyle w:val="Compact"/>
        <w:numPr>
          <w:ilvl w:val="2"/>
          <w:numId w:val="1208"/>
        </w:numPr>
      </w:pPr>
      <w:r>
        <w:t xml:space="preserve">a. Restaurant: 10 spaces per station.</w:t>
      </w:r>
    </w:p>
    <w:p>
      <w:pPr>
        <w:pStyle w:val="Compact"/>
        <w:numPr>
          <w:ilvl w:val="2"/>
          <w:numId w:val="1208"/>
        </w:numPr>
      </w:pPr>
      <w:r>
        <w:t xml:space="preserve">b. Bank: five spaces for the first station, plus two spaces for each additional station.</w:t>
      </w:r>
    </w:p>
    <w:p>
      <w:pPr>
        <w:pStyle w:val="Compact"/>
        <w:numPr>
          <w:ilvl w:val="2"/>
          <w:numId w:val="1208"/>
        </w:numPr>
      </w:pPr>
      <w:r>
        <w:t xml:space="preserve">c. Other uses: four spaces per station.</w:t>
      </w:r>
    </w:p>
    <w:p>
      <w:pPr>
        <w:pStyle w:val="Compact"/>
        <w:numPr>
          <w:ilvl w:val="1"/>
          <w:numId w:val="1207"/>
        </w:numPr>
      </w:pPr>
      <w:r>
        <w:t xml:space="preserve">(2) Stacking spaces provided for drive-through uses shall be</w:t>
      </w:r>
    </w:p>
    <w:p>
      <w:pPr>
        <w:pStyle w:val="Compact"/>
        <w:numPr>
          <w:ilvl w:val="2"/>
          <w:numId w:val="1209"/>
        </w:numPr>
      </w:pPr>
      <w:r>
        <w:t xml:space="preserve">a. A minimum of 10 feet in width, as measured from the outermost point of any service window, menu board or bay entrance, to the edge of the driveway, and 20 feet in length. In the case of a recessed service window, the measurement shall be taken from the building wall.</w:t>
      </w:r>
    </w:p>
    <w:p>
      <w:pPr>
        <w:pStyle w:val="Compact"/>
        <w:numPr>
          <w:ilvl w:val="2"/>
          <w:numId w:val="1209"/>
        </w:numPr>
      </w:pPr>
      <w:r>
        <w:t xml:space="preserve">b. Stacking spaces shall begin behind the vehicle parked at a final point of service, such as a service window or car wash bay (and does not include a menu board). Spaces shall be placed in a single line behind each lane or bay.</w:t>
      </w:r>
    </w:p>
    <w:p>
      <w:pPr>
        <w:pStyle w:val="Compact"/>
        <w:numPr>
          <w:ilvl w:val="2"/>
          <w:numId w:val="1209"/>
        </w:numPr>
      </w:pPr>
      <w:r>
        <w:t xml:space="preserve">c. The number of required queued cars shall apply to all lanes or bay where multiple lanes are proposed.</w:t>
      </w:r>
    </w:p>
    <w:p>
      <w:pPr>
        <w:pStyle w:val="Compact"/>
        <w:numPr>
          <w:ilvl w:val="1"/>
          <w:numId w:val="1207"/>
        </w:numPr>
      </w:pPr>
      <w:r>
        <w:t xml:space="preserve">(3) All drive-through lanes shall be located and designed to ensure that they do not adversely affect traffic circulation on adjoining streets. Drive-through lanes on corner lots shall not route exiting traffic into adjacent residential neighborhoods.</w:t>
      </w:r>
    </w:p>
    <w:p>
      <w:pPr>
        <w:pStyle w:val="Compact"/>
        <w:numPr>
          <w:ilvl w:val="1"/>
          <w:numId w:val="1207"/>
        </w:numPr>
      </w:pPr>
      <w:r>
        <w:t xml:space="preserve">(4) Drive-through facilities shall be screened along, side and rear lot lines, with a solid wall or fence or other hardscape or landscape, a minimum of four feet and a maximum of six feet in height.</w:t>
      </w:r>
    </w:p>
    <w:p>
      <w:pPr>
        <w:pStyle w:val="Compact"/>
        <w:numPr>
          <w:ilvl w:val="1"/>
          <w:numId w:val="1207"/>
        </w:numPr>
      </w:pPr>
      <w:r>
        <w:t xml:space="preserve">(5) An additional buffer of 10 feet shall be provided along lot lines adjacent to residential, agricultural and open space uses and zoning districts.</w:t>
      </w:r>
    </w:p>
    <w:p>
      <w:pPr>
        <w:pStyle w:val="Compact"/>
        <w:numPr>
          <w:ilvl w:val="1"/>
          <w:numId w:val="1207"/>
        </w:numPr>
      </w:pPr>
      <w:r>
        <w:t xml:space="preserve">(6) Speakers used for ordering and other service shall be located so as not to disturb or interfere with the use of neighboring properties, considering such property's type of use (e.g., industrial, commercial, institutional, residential, etc.).</w:t>
      </w:r>
    </w:p>
    <w:p>
      <w:pPr>
        <w:pStyle w:val="Compact"/>
        <w:numPr>
          <w:ilvl w:val="1"/>
          <w:numId w:val="1207"/>
        </w:numPr>
      </w:pPr>
      <w:r>
        <w:t xml:space="preserve">(7) The site shall otherwise comply with landscaping requirements of these regulations. The landscaping standards do not apply to drive-through facilities within multitenant retail centers where the drive-through use does not abut lot lines.</w:t>
      </w:r>
    </w:p>
    <w:p>
      <w:pPr>
        <w:pStyle w:val="Compact"/>
        <w:numPr>
          <w:ilvl w:val="1"/>
          <w:numId w:val="1207"/>
        </w:numPr>
      </w:pPr>
      <w:r>
        <w:t xml:space="preserve">(8) No drive-through facility shall be located in any front yard. Entrances to a drive-through facility shall be offset at least 150 feet from an intersection. No drive-through lane shall exit directly onto a street.</w:t>
      </w:r>
    </w:p>
    <w:p>
      <w:pPr>
        <w:pStyle w:val="Compact"/>
        <w:numPr>
          <w:ilvl w:val="1"/>
          <w:numId w:val="1207"/>
        </w:numPr>
      </w:pPr>
      <w:r>
        <w:t xml:space="preserve">(9) Drive-through lanes shall be delineated from traffic lanes and parking areas with striping, curbing, landscaping and/or the use of alternative paving material. Where pedestrians will intersect with a drive-through lane, crosswalks shall be provided, making use of striping and/or alternative paving material.</w:t>
      </w:r>
    </w:p>
    <w:p>
      <w:pPr>
        <w:pStyle w:val="Compact"/>
        <w:numPr>
          <w:ilvl w:val="1"/>
          <w:numId w:val="1207"/>
        </w:numPr>
      </w:pPr>
      <w:r>
        <w:t xml:space="preserve">(10) Adequate directional and warning signs shall be provided to assure smooth traffic circulation and pedestrian safety, including marking entrances, exits and one-way lanes of drive-through areas. The placement of all directional signage shall be subject to review and approval under the provisions of these regulations.</w:t>
      </w:r>
    </w:p>
    <w:p>
      <w:pPr>
        <w:pStyle w:val="Compact"/>
        <w:numPr>
          <w:ilvl w:val="1"/>
          <w:numId w:val="1207"/>
        </w:numPr>
      </w:pPr>
      <w:r>
        <w:t xml:space="preserve">(11) Menu boards or other informational boards shall face away from public rights-of-way. All lighting associated with menu boards, window service areas or travel lanes shall be directed and shielded so as to prevent any glare or reflection on adjoining streets or property. The placement of all informational signage shall also be subject to review and approval under the provisions of these regulations.</w:t>
      </w:r>
    </w:p>
    <w:p>
      <w:pPr>
        <w:pStyle w:val="Compact"/>
        <w:numPr>
          <w:ilvl w:val="0"/>
          <w:numId w:val="1187"/>
        </w:numPr>
      </w:pPr>
      <w:r>
        <w:t xml:space="preserve">(k) Drug or Alcohol Rehabilitation Facility.</w:t>
      </w:r>
    </w:p>
    <w:p>
      <w:pPr>
        <w:pStyle w:val="Compact"/>
        <w:numPr>
          <w:ilvl w:val="1"/>
          <w:numId w:val="1210"/>
        </w:numPr>
      </w:pPr>
      <w:r>
        <w:t xml:space="preserve">(1) Such facilities shall meet all federal, state and local requirements, including, but not limited to, licensing, health, safety and building code requirements.</w:t>
      </w:r>
    </w:p>
    <w:p>
      <w:pPr>
        <w:pStyle w:val="Compact"/>
        <w:numPr>
          <w:ilvl w:val="1"/>
          <w:numId w:val="1210"/>
        </w:numPr>
      </w:pPr>
      <w:r>
        <w:t xml:space="preserve">(2) A copy of the state license shall be visible at all times.</w:t>
      </w:r>
    </w:p>
    <w:p>
      <w:pPr>
        <w:pStyle w:val="Compact"/>
        <w:numPr>
          <w:ilvl w:val="1"/>
          <w:numId w:val="1210"/>
        </w:numPr>
      </w:pPr>
      <w:r>
        <w:t xml:space="preserve">(3) When located in a nonresidential district, the building shall be designed with a lobby entrance along the primary frontage.</w:t>
      </w:r>
    </w:p>
    <w:p>
      <w:pPr>
        <w:pStyle w:val="Compact"/>
        <w:numPr>
          <w:ilvl w:val="0"/>
          <w:numId w:val="1187"/>
        </w:numPr>
      </w:pPr>
      <w:r>
        <w:t xml:space="preserve">(l) Educational Institutions.</w:t>
      </w:r>
    </w:p>
    <w:p>
      <w:pPr>
        <w:pStyle w:val="Compact"/>
        <w:numPr>
          <w:ilvl w:val="1"/>
          <w:numId w:val="1211"/>
        </w:numPr>
      </w:pPr>
      <w:r>
        <w:t xml:space="preserve">(1) The applicant shall provide proof of state licensing as required.</w:t>
      </w:r>
    </w:p>
    <w:p>
      <w:pPr>
        <w:pStyle w:val="Compact"/>
        <w:numPr>
          <w:ilvl w:val="1"/>
          <w:numId w:val="1211"/>
        </w:numPr>
      </w:pPr>
      <w:r>
        <w:t xml:space="preserve">(2) The site shall otherwise comply with landscaping requirements of these regulations.</w:t>
      </w:r>
    </w:p>
    <w:p>
      <w:pPr>
        <w:pStyle w:val="Compact"/>
        <w:numPr>
          <w:ilvl w:val="1"/>
          <w:numId w:val="1211"/>
        </w:numPr>
      </w:pPr>
      <w:r>
        <w:t xml:space="preserve">(3) There shall be a designated drop-off area near an entrance to the building with a queuing lane that does not block vehicle parking spaces or extend into the street.</w:t>
      </w:r>
    </w:p>
    <w:p>
      <w:pPr>
        <w:pStyle w:val="Compact"/>
        <w:numPr>
          <w:ilvl w:val="1"/>
          <w:numId w:val="1211"/>
        </w:numPr>
      </w:pPr>
      <w:r>
        <w:t xml:space="preserve">(4) A traffic impact analysis shall be required that includes an analysis of drop off and pick up capacity and operations.</w:t>
      </w:r>
    </w:p>
    <w:p>
      <w:pPr>
        <w:pStyle w:val="Compact"/>
        <w:numPr>
          <w:ilvl w:val="0"/>
          <w:numId w:val="1187"/>
        </w:numPr>
      </w:pPr>
      <w:r>
        <w:t xml:space="preserve">(m) Funeral Home.</w:t>
      </w:r>
    </w:p>
    <w:p>
      <w:pPr>
        <w:pStyle w:val="Compact"/>
        <w:numPr>
          <w:ilvl w:val="1"/>
          <w:numId w:val="1212"/>
        </w:numPr>
      </w:pPr>
      <w:r>
        <w:t xml:space="preserve">(1) Parking shall not be in excess of 135% of the required parking spaces.</w:t>
      </w:r>
    </w:p>
    <w:p>
      <w:pPr>
        <w:pStyle w:val="Compact"/>
        <w:numPr>
          <w:ilvl w:val="1"/>
          <w:numId w:val="1212"/>
        </w:numPr>
      </w:pPr>
      <w:r>
        <w:t xml:space="preserve">(2) The parking lot shall be screened and landscaped in accordance with the requirements of this Zoning Ordinance.</w:t>
      </w:r>
    </w:p>
    <w:p>
      <w:pPr>
        <w:pStyle w:val="Compact"/>
        <w:numPr>
          <w:ilvl w:val="0"/>
          <w:numId w:val="1187"/>
        </w:numPr>
      </w:pPr>
      <w:r>
        <w:t xml:space="preserve">(n) Group Quarters, Short-Term Rentals and Lodging.</w:t>
      </w:r>
    </w:p>
    <w:p>
      <w:pPr>
        <w:pStyle w:val="Compact"/>
        <w:numPr>
          <w:ilvl w:val="1"/>
          <w:numId w:val="1213"/>
        </w:numPr>
      </w:pPr>
      <w:r>
        <w:t xml:space="preserve">(1) All short-term rentals must be owner-occupied at least six months per year.</w:t>
      </w:r>
    </w:p>
    <w:p>
      <w:pPr>
        <w:pStyle w:val="Compact"/>
        <w:numPr>
          <w:ilvl w:val="1"/>
          <w:numId w:val="1213"/>
        </w:numPr>
      </w:pPr>
      <w:r>
        <w:t xml:space="preserve">(2) If the building had been built as a dwelling, the exterior shall maintain its original appearance as a dwelling.</w:t>
      </w:r>
    </w:p>
    <w:p>
      <w:pPr>
        <w:pStyle w:val="Compact"/>
        <w:numPr>
          <w:ilvl w:val="1"/>
          <w:numId w:val="1213"/>
        </w:numPr>
      </w:pPr>
      <w:r>
        <w:t xml:space="preserve">(3) Cooking facilities are prohibited in guest rooms.</w:t>
      </w:r>
    </w:p>
    <w:p>
      <w:pPr>
        <w:pStyle w:val="Compact"/>
        <w:numPr>
          <w:ilvl w:val="1"/>
          <w:numId w:val="1213"/>
        </w:numPr>
      </w:pPr>
      <w:r>
        <w:t xml:space="preserve">(4) If meals are provided, only registered guests may be served.</w:t>
      </w:r>
    </w:p>
    <w:p>
      <w:pPr>
        <w:pStyle w:val="Compact"/>
        <w:numPr>
          <w:ilvl w:val="1"/>
          <w:numId w:val="1213"/>
        </w:numPr>
      </w:pPr>
      <w:r>
        <w:t xml:space="preserve">(5) Leasing of a common dining area for social events is prohibited.</w:t>
      </w:r>
    </w:p>
    <w:p>
      <w:pPr>
        <w:pStyle w:val="Compact"/>
        <w:numPr>
          <w:ilvl w:val="1"/>
          <w:numId w:val="1213"/>
        </w:numPr>
      </w:pPr>
      <w:r>
        <w:t xml:space="preserve">(6) Guest stays are limited to a maximum of 14 consecutive days.</w:t>
      </w:r>
    </w:p>
    <w:p>
      <w:pPr>
        <w:pStyle w:val="Compact"/>
        <w:numPr>
          <w:ilvl w:val="1"/>
          <w:numId w:val="1213"/>
        </w:numPr>
      </w:pPr>
      <w:r>
        <w:t xml:space="preserve">(7) Minimum on-site parking shall be one parking space per guest room.</w:t>
      </w:r>
    </w:p>
    <w:p>
      <w:pPr>
        <w:pStyle w:val="Compact"/>
        <w:numPr>
          <w:ilvl w:val="1"/>
          <w:numId w:val="1213"/>
        </w:numPr>
      </w:pPr>
      <w:r>
        <w:t xml:space="preserve">(8) No more than two individuals per bedroom shall be allowed.</w:t>
      </w:r>
    </w:p>
    <w:p>
      <w:pPr>
        <w:pStyle w:val="Compact"/>
        <w:numPr>
          <w:ilvl w:val="0"/>
          <w:numId w:val="1187"/>
        </w:numPr>
      </w:pPr>
      <w:r>
        <w:t xml:space="preserve">(o) Marijuana Facilities - Retail Sales. Medical Use, and/or Compassion Centers.</w:t>
      </w:r>
    </w:p>
    <w:p>
      <w:pPr>
        <w:pStyle w:val="Compact"/>
        <w:numPr>
          <w:ilvl w:val="1"/>
          <w:numId w:val="1214"/>
        </w:numPr>
      </w:pPr>
      <w:r>
        <w:t xml:space="preserve">(1) No marijuana establishment shall be combined with residential use of property.</w:t>
      </w:r>
    </w:p>
    <w:p>
      <w:pPr>
        <w:pStyle w:val="Compact"/>
        <w:numPr>
          <w:ilvl w:val="1"/>
          <w:numId w:val="1214"/>
        </w:numPr>
      </w:pPr>
      <w:r>
        <w:t xml:space="preserve">(2) All operations shall take place within a permanent building and shall not be visible from the exterior of the building.</w:t>
      </w:r>
    </w:p>
    <w:p>
      <w:pPr>
        <w:pStyle w:val="Compact"/>
        <w:numPr>
          <w:ilvl w:val="1"/>
          <w:numId w:val="1214"/>
        </w:numPr>
      </w:pPr>
      <w:r>
        <w:t xml:space="preserve">(3) No marijuana facility that dispenses marijuana or marijuana-related products shall have a gross floor area of more than 3,000 square feet.</w:t>
      </w:r>
    </w:p>
    <w:p>
      <w:pPr>
        <w:pStyle w:val="Compact"/>
        <w:numPr>
          <w:ilvl w:val="1"/>
          <w:numId w:val="1214"/>
        </w:numPr>
      </w:pPr>
      <w:r>
        <w:t xml:space="preserve">(4) Hours of operation shall not be outside the hours of 8:00 a.m. through 10:00 p.m.</w:t>
      </w:r>
    </w:p>
    <w:p>
      <w:pPr>
        <w:pStyle w:val="Compact"/>
        <w:numPr>
          <w:ilvl w:val="1"/>
          <w:numId w:val="1214"/>
        </w:numPr>
      </w:pPr>
      <w:r>
        <w:t xml:space="preserve">(5) No drive-through service shall be permitted for a marijuana facility.</w:t>
      </w:r>
    </w:p>
    <w:p>
      <w:pPr>
        <w:pStyle w:val="Compact"/>
        <w:numPr>
          <w:ilvl w:val="1"/>
          <w:numId w:val="1214"/>
        </w:numPr>
      </w:pPr>
      <w:r>
        <w:t xml:space="preserve">(6) No outside storage of marijuana, related supplies, or promotional materials shall be permitted.</w:t>
      </w:r>
    </w:p>
    <w:p>
      <w:pPr>
        <w:pStyle w:val="Compact"/>
        <w:numPr>
          <w:ilvl w:val="1"/>
          <w:numId w:val="1214"/>
        </w:numPr>
      </w:pPr>
      <w:r>
        <w:t xml:space="preserve">(7) Marijuana facilities shall be ventilated in such a manner that:</w:t>
      </w:r>
    </w:p>
    <w:p>
      <w:pPr>
        <w:pStyle w:val="Compact"/>
        <w:numPr>
          <w:ilvl w:val="2"/>
          <w:numId w:val="1215"/>
        </w:numPr>
      </w:pPr>
      <w:r>
        <w:t xml:space="preserve">a. No pesticides, insecticides, or other chemicals or products used in the cultivation or processing of marijuana are dispersed into the outside atmosphere; and</w:t>
      </w:r>
    </w:p>
    <w:p>
      <w:pPr>
        <w:pStyle w:val="Compact"/>
        <w:numPr>
          <w:ilvl w:val="2"/>
          <w:numId w:val="1215"/>
        </w:numPr>
      </w:pPr>
      <w:r>
        <w:t xml:space="preserve">b. No odor from marijuana or its processing can be detected by a person with an unimpaired and otherwise normal sense of smell at the exterior of the marijuana facility, or any adjoining use of property. An odor control plan shall be submitted that provides for adequate ventilation, detailing the specific odor-emitting activities or processes to be conducted on site, the source of those odors, the locations from which they are emitted from the facility, the frequency of such odor-emitting activities, the duration of such odor-emitting activities, and the administrative and engineering controls that will be implemented to control such odors, including maintenance of such control.</w:t>
      </w:r>
    </w:p>
    <w:p>
      <w:pPr>
        <w:pStyle w:val="Compact"/>
        <w:numPr>
          <w:ilvl w:val="1"/>
          <w:numId w:val="1214"/>
        </w:numPr>
      </w:pPr>
      <w:r>
        <w:t xml:space="preserve">(8) A security plan including information relating to alarms, fencing, gates, limited access areas, delivery procedure, police details and video and lighting locations. The security plan shall show the arrangement of pedestrian circulation and access to the public points of entry to the premises from the nearest public street or off-street parking area. The security plan must be approved by the Chief of Police or his/her designee and updates shall be submitted to and approved by the Chief of Police or his/her designee. To the maximum extent possible, the security plan and any updates shall be deemed confidential documents.</w:t>
      </w:r>
    </w:p>
    <w:p>
      <w:pPr>
        <w:numPr>
          <w:ilvl w:val="1"/>
          <w:numId w:val="1214"/>
        </w:numPr>
      </w:pPr>
      <w:r>
        <w:t xml:space="preserve">(9) The site shall otherwise comply with landscaping requirements of the Land Development and Subdivision Regulations.</w:t>
      </w:r>
    </w:p>
    <w:p>
      <w:pPr>
        <w:numPr>
          <w:ilvl w:val="1"/>
          <w:numId w:val="1000"/>
        </w:numPr>
      </w:pPr>
      <w:r>
        <w:rPr>
          <w:i/>
          <w:iCs/>
        </w:rPr>
        <w:t xml:space="preserve">Editor's Note: See Appendix A, Land Development and Subdivision Regulations.</w:t>
      </w:r>
    </w:p>
    <w:p>
      <w:pPr>
        <w:pStyle w:val="Compact"/>
        <w:numPr>
          <w:ilvl w:val="1"/>
          <w:numId w:val="1214"/>
        </w:numPr>
      </w:pPr>
      <w:r>
        <w:t xml:space="preserve">(10) That the exterior appearance of the structure will be consistent with the exterior appearance of structures already constructed or under construction within the immediate neighborhood, to prevent blight or deterioration, or substantial diminishment or impairment of property values within the neighborhood.</w:t>
      </w:r>
    </w:p>
    <w:p>
      <w:pPr>
        <w:pStyle w:val="Compact"/>
        <w:numPr>
          <w:ilvl w:val="1"/>
          <w:numId w:val="1214"/>
        </w:numPr>
      </w:pPr>
      <w:r>
        <w:t xml:space="preserve">(11) Lighting shall be required such that it will illuminate the compassion center, its immediate surrounding area, any accessory uses including storage areas, the parking lot(s), its front facade, and any adjoining public sidewalk. Wherever possible, lighting shall be directed straight downward and full-cutoff fixtures shall be used in order to prevent glare or light trespass.</w:t>
      </w:r>
    </w:p>
    <w:p>
      <w:pPr>
        <w:pStyle w:val="Compact"/>
        <w:numPr>
          <w:ilvl w:val="1"/>
          <w:numId w:val="1214"/>
        </w:numPr>
      </w:pPr>
      <w:r>
        <w:t xml:space="preserve">(12) The property shall be at least 3/4 mile from the property line of another marijuana facility and at least 1,000 feet from a pre-existing public or private school.</w:t>
      </w:r>
    </w:p>
    <w:p>
      <w:pPr>
        <w:pStyle w:val="Compact"/>
        <w:numPr>
          <w:ilvl w:val="0"/>
          <w:numId w:val="1187"/>
        </w:numPr>
      </w:pPr>
      <w:r>
        <w:t xml:space="preserve">(p) Materials Processing Centers.</w:t>
      </w:r>
    </w:p>
    <w:p>
      <w:pPr>
        <w:pStyle w:val="Compact"/>
        <w:numPr>
          <w:ilvl w:val="1"/>
          <w:numId w:val="1216"/>
        </w:numPr>
      </w:pPr>
      <w:r>
        <w:t xml:space="preserve">(1) The materials processing area shall be completely enclosed along all lot lines by an opaque fence a minimum of four feet and a maximum of six feet in height, including ingress and egress. Where buildings are proposed, they should be located along the street frontage, meeting setback requirements. Otherwise, screening the operation from the street, which may include fences, tall vegetation, or walls along the front is required.</w:t>
      </w:r>
    </w:p>
    <w:p>
      <w:pPr>
        <w:pStyle w:val="Compact"/>
        <w:numPr>
          <w:ilvl w:val="1"/>
          <w:numId w:val="1216"/>
        </w:numPr>
      </w:pPr>
      <w:r>
        <w:t xml:space="preserve">(2) The use shall be screened along interior side and rear lot lines with a solid fence or wall, a minimum of four feet and a maximum of six feet in height.</w:t>
      </w:r>
    </w:p>
    <w:p>
      <w:pPr>
        <w:pStyle w:val="Compact"/>
        <w:numPr>
          <w:ilvl w:val="1"/>
          <w:numId w:val="1216"/>
        </w:numPr>
      </w:pPr>
      <w:r>
        <w:t xml:space="preserve">(3) Where the use abuts a residential use or zoning district, the fence shall be set back a minimum of 20 feet from each such lot line abutting a residential use or zoning district.</w:t>
      </w:r>
    </w:p>
    <w:p>
      <w:pPr>
        <w:numPr>
          <w:ilvl w:val="1"/>
          <w:numId w:val="1216"/>
        </w:numPr>
      </w:pPr>
      <w:r>
        <w:t xml:space="preserve">(4) The site shall otherwise comply with landscaping requirements of the Land Development and Subdivision Regulations.</w:t>
      </w:r>
    </w:p>
    <w:p>
      <w:pPr>
        <w:numPr>
          <w:ilvl w:val="1"/>
          <w:numId w:val="1000"/>
        </w:numPr>
      </w:pPr>
      <w:r>
        <w:rPr>
          <w:i/>
          <w:iCs/>
        </w:rPr>
        <w:t xml:space="preserve">Editor's Note: See Appendix A, Land Development and Subdivision Regulations.</w:t>
      </w:r>
    </w:p>
    <w:p>
      <w:pPr>
        <w:pStyle w:val="Compact"/>
        <w:numPr>
          <w:ilvl w:val="0"/>
          <w:numId w:val="1187"/>
        </w:numPr>
      </w:pPr>
      <w:r>
        <w:t xml:space="preserve">(q) Outdoor Dining.</w:t>
      </w:r>
    </w:p>
    <w:p>
      <w:pPr>
        <w:pStyle w:val="Compact"/>
        <w:numPr>
          <w:ilvl w:val="1"/>
          <w:numId w:val="1217"/>
        </w:numPr>
      </w:pPr>
      <w:r>
        <w:t xml:space="preserve">(1) The seating area may only be established adjacent to the business with which the outdoor area is associated, as shown on a submitted site plan drawn to scale that shows the delineated area of the proposed outdoor seating area, including the location and placement of tables, seats, planters, awnings, umbrellas, and the business's entrance and windows.</w:t>
      </w:r>
    </w:p>
    <w:p>
      <w:pPr>
        <w:pStyle w:val="Compact"/>
        <w:numPr>
          <w:ilvl w:val="1"/>
          <w:numId w:val="1217"/>
        </w:numPr>
      </w:pPr>
      <w:r>
        <w:t xml:space="preserve">(2) If proposed in front of an adjacent business, the applicant must receive written permission from the adjacent business.</w:t>
      </w:r>
    </w:p>
    <w:p>
      <w:pPr>
        <w:pStyle w:val="Compact"/>
        <w:numPr>
          <w:ilvl w:val="1"/>
          <w:numId w:val="1217"/>
        </w:numPr>
      </w:pPr>
      <w:r>
        <w:t xml:space="preserve">(3) Outdoor seating areas must be separated from parking areas with a physical barrier to contain and define the outdoor seating area, as approved by the Chief of Police or his/her designee.</w:t>
      </w:r>
    </w:p>
    <w:p>
      <w:pPr>
        <w:pStyle w:val="Compact"/>
        <w:numPr>
          <w:ilvl w:val="1"/>
          <w:numId w:val="1217"/>
        </w:numPr>
      </w:pPr>
      <w:r>
        <w:t xml:space="preserve">(4) Parking requirements shall be increased accordingly to include the outdoor seating.</w:t>
      </w:r>
    </w:p>
    <w:p>
      <w:pPr>
        <w:pStyle w:val="Compact"/>
        <w:numPr>
          <w:ilvl w:val="0"/>
          <w:numId w:val="1187"/>
        </w:numPr>
      </w:pPr>
      <w:r>
        <w:t xml:space="preserve">(r) Parking Structures and Lots.</w:t>
      </w:r>
    </w:p>
    <w:p>
      <w:pPr>
        <w:pStyle w:val="Compact"/>
        <w:numPr>
          <w:ilvl w:val="1"/>
          <w:numId w:val="1218"/>
        </w:numPr>
      </w:pPr>
      <w:r>
        <w:t xml:space="preserve">(1) Parking Structure.</w:t>
      </w:r>
    </w:p>
    <w:p>
      <w:pPr>
        <w:pStyle w:val="Compact"/>
        <w:numPr>
          <w:ilvl w:val="2"/>
          <w:numId w:val="1219"/>
        </w:numPr>
      </w:pPr>
      <w:r>
        <w:t xml:space="preserve">a. On the ground floor facade along public streets where parking spaces are visible, a decorative fence and landscape or a kneewall is required to screen parking spaces. Fence or kneewall shall be a minimum of four feet in height.</w:t>
      </w:r>
    </w:p>
    <w:p>
      <w:pPr>
        <w:pStyle w:val="Compact"/>
        <w:numPr>
          <w:ilvl w:val="2"/>
          <w:numId w:val="1219"/>
        </w:numPr>
      </w:pPr>
      <w:r>
        <w:t xml:space="preserve">b. For parking structures with rooftop open-air parking, a minimum four-foot parapet wall is required for screening of parked vehicles.</w:t>
      </w:r>
    </w:p>
    <w:p>
      <w:pPr>
        <w:pStyle w:val="Compact"/>
        <w:numPr>
          <w:ilvl w:val="2"/>
          <w:numId w:val="1219"/>
        </w:numPr>
      </w:pPr>
      <w:r>
        <w:t xml:space="preserve">c. Where parking structures front on public streets, facade design and screening shall mask the interior circulation ramps and create the illusion of horizontality along the street.</w:t>
      </w:r>
    </w:p>
    <w:p>
      <w:pPr>
        <w:numPr>
          <w:ilvl w:val="2"/>
          <w:numId w:val="1219"/>
        </w:numPr>
      </w:pPr>
      <w:r>
        <w:t xml:space="preserve">d. The site shall otherwise comply with the landscaping requirements of the Land Development and Subdivision Regulations.</w:t>
      </w:r>
    </w:p>
    <w:p>
      <w:pPr>
        <w:numPr>
          <w:ilvl w:val="2"/>
          <w:numId w:val="1000"/>
        </w:numPr>
      </w:pPr>
      <w:r>
        <w:rPr>
          <w:i/>
          <w:iCs/>
        </w:rPr>
        <w:t xml:space="preserve">Editor's Note: See Appendix A, Land Development and Subdivision Regulations.</w:t>
      </w:r>
    </w:p>
    <w:p>
      <w:pPr>
        <w:pStyle w:val="Compact"/>
        <w:numPr>
          <w:ilvl w:val="1"/>
          <w:numId w:val="1218"/>
        </w:numPr>
      </w:pPr>
      <w:r>
        <w:t xml:space="preserve">(2) Parking Lot.</w:t>
      </w:r>
    </w:p>
    <w:p>
      <w:pPr>
        <w:pStyle w:val="Compact"/>
        <w:numPr>
          <w:ilvl w:val="2"/>
          <w:numId w:val="1220"/>
        </w:numPr>
      </w:pPr>
      <w:r>
        <w:t xml:space="preserve">a. A parking lot shall be used solely for the temporary parking of motor vehicles and shall not be used as an off-street loading area.</w:t>
      </w:r>
    </w:p>
    <w:p>
      <w:pPr>
        <w:pStyle w:val="Compact"/>
        <w:numPr>
          <w:ilvl w:val="2"/>
          <w:numId w:val="1220"/>
        </w:numPr>
      </w:pPr>
      <w:r>
        <w:t xml:space="preserve">b. Only structures for the shelter of attendants or for payment kiosks shall be permitted in a parking lot. Shelters or kiosks shall not exceed eight feet in height and 36 square feet in area.</w:t>
      </w:r>
    </w:p>
    <w:p>
      <w:pPr>
        <w:numPr>
          <w:ilvl w:val="2"/>
          <w:numId w:val="1220"/>
        </w:numPr>
      </w:pPr>
      <w:r>
        <w:t xml:space="preserve">c.</w:t>
      </w:r>
    </w:p>
    <w:p>
      <w:pPr>
        <w:numPr>
          <w:ilvl w:val="2"/>
          <w:numId w:val="1000"/>
        </w:numPr>
      </w:pPr>
      <w:r>
        <w:t xml:space="preserve">The site shall otherwise comply with landscaping requirements of the Land Development and Subdivision Regulations.</w:t>
      </w:r>
    </w:p>
    <w:p>
      <w:pPr>
        <w:numPr>
          <w:ilvl w:val="2"/>
          <w:numId w:val="1000"/>
        </w:numPr>
      </w:pPr>
      <w:r>
        <w:rPr>
          <w:i/>
          <w:iCs/>
        </w:rPr>
        <w:t xml:space="preserve">Editor's Note: See Appendix A, Land Development and Subdivision Regulations.</w:t>
      </w:r>
    </w:p>
    <w:p>
      <w:pPr>
        <w:pStyle w:val="Compact"/>
        <w:numPr>
          <w:ilvl w:val="2"/>
          <w:numId w:val="1220"/>
        </w:numPr>
      </w:pPr>
      <w:r>
        <w:t xml:space="preserve">d. Parking lots shall not exceed 80% impervious surface.</w:t>
      </w:r>
    </w:p>
    <w:p>
      <w:pPr>
        <w:pStyle w:val="Compact"/>
        <w:numPr>
          <w:ilvl w:val="0"/>
          <w:numId w:val="1187"/>
        </w:numPr>
      </w:pPr>
      <w:r>
        <w:t xml:space="preserve">(s) Pre-Schools.</w:t>
      </w:r>
    </w:p>
    <w:p>
      <w:pPr>
        <w:pStyle w:val="Compact"/>
        <w:numPr>
          <w:ilvl w:val="1"/>
          <w:numId w:val="1221"/>
        </w:numPr>
      </w:pPr>
      <w:r>
        <w:t xml:space="preserve">(1) Shall be permitted subject to conformance with Department of Elementary and Secondary Education regulations.</w:t>
      </w:r>
    </w:p>
    <w:p>
      <w:pPr>
        <w:pStyle w:val="Compact"/>
        <w:numPr>
          <w:ilvl w:val="1"/>
          <w:numId w:val="1221"/>
        </w:numPr>
      </w:pPr>
      <w:r>
        <w:t xml:space="preserve">(2) Shall be located on a principal or minor arterial roadway as defined in the R.I. Statewide Planning's Highway Functional Classification System.</w:t>
      </w:r>
    </w:p>
    <w:p>
      <w:pPr>
        <w:pStyle w:val="Compact"/>
        <w:numPr>
          <w:ilvl w:val="0"/>
          <w:numId w:val="1187"/>
        </w:numPr>
      </w:pPr>
      <w:r>
        <w:t xml:space="preserve">(t) Small hydroelectric generation facilities (see Article 18-7).</w:t>
      </w:r>
    </w:p>
    <w:p>
      <w:pPr>
        <w:pStyle w:val="Compact"/>
        <w:numPr>
          <w:ilvl w:val="0"/>
          <w:numId w:val="1187"/>
        </w:numPr>
      </w:pPr>
      <w:r>
        <w:t xml:space="preserve">(u) Solar energy systems (see Article 18-8).</w:t>
      </w:r>
    </w:p>
    <w:p>
      <w:pPr>
        <w:pStyle w:val="Compact"/>
        <w:numPr>
          <w:ilvl w:val="0"/>
          <w:numId w:val="1187"/>
        </w:numPr>
      </w:pPr>
      <w:r>
        <w:t xml:space="preserve">(v) Veterinarian and Animal Hospital: Kennel and Nonagricultural.</w:t>
      </w:r>
    </w:p>
    <w:p>
      <w:pPr>
        <w:pStyle w:val="Compact"/>
        <w:numPr>
          <w:ilvl w:val="1"/>
          <w:numId w:val="1222"/>
        </w:numPr>
      </w:pPr>
      <w:r>
        <w:t xml:space="preserve">(1) Exterior exercise areas shall be located in the interior side or rear yard and shall be completely enclosed along all lot lines by an opaque fence a minimum of six feet high and a maximum of eight feet high, including ingress and egress.</w:t>
      </w:r>
    </w:p>
    <w:p>
      <w:pPr>
        <w:pStyle w:val="Compact"/>
        <w:numPr>
          <w:ilvl w:val="1"/>
          <w:numId w:val="1222"/>
        </w:numPr>
      </w:pPr>
      <w:r>
        <w:t xml:space="preserve">(2) Where the use abuts a residential, agricultural or open space use or zoning district, the fence shall be set back a minimum of 20 feet from each such lot line abutting a residential, agricultural or open space use or zoning district.</w:t>
      </w:r>
    </w:p>
    <w:p>
      <w:pPr>
        <w:pStyle w:val="Compact"/>
        <w:numPr>
          <w:ilvl w:val="1"/>
          <w:numId w:val="1222"/>
        </w:numPr>
      </w:pPr>
      <w:r>
        <w:t xml:space="preserve">(3) All overnight boarding operations shall be located indoors.</w:t>
      </w:r>
    </w:p>
    <w:p>
      <w:pPr>
        <w:pStyle w:val="Compact"/>
        <w:numPr>
          <w:ilvl w:val="1"/>
          <w:numId w:val="1222"/>
        </w:numPr>
      </w:pPr>
      <w:r>
        <w:t xml:space="preserve">(4) All animal care and/or kennel facilities shall have a valid municipal license.</w:t>
      </w:r>
    </w:p>
    <w:p>
      <w:pPr>
        <w:pStyle w:val="Compact"/>
        <w:numPr>
          <w:ilvl w:val="0"/>
          <w:numId w:val="1187"/>
        </w:numPr>
      </w:pPr>
      <w:r>
        <w:t xml:space="preserve">(w) Criteria to Subdivide a Lot with Multiple Residences.</w:t>
      </w:r>
    </w:p>
    <w:p>
      <w:pPr>
        <w:pStyle w:val="Compact"/>
        <w:numPr>
          <w:ilvl w:val="1"/>
          <w:numId w:val="1223"/>
        </w:numPr>
      </w:pPr>
      <w:r>
        <w:t xml:space="preserve">(1) All principal residential structures existing on the property are pre-existing and legally non-conforming; and</w:t>
      </w:r>
    </w:p>
    <w:p>
      <w:pPr>
        <w:pStyle w:val="Compact"/>
        <w:numPr>
          <w:ilvl w:val="1"/>
          <w:numId w:val="1223"/>
        </w:numPr>
      </w:pPr>
      <w:r>
        <w:t xml:space="preserve">(2) Each parcel in the proposed subdivision shall have adequate physical access to a public road; and</w:t>
      </w:r>
    </w:p>
    <w:p>
      <w:pPr>
        <w:pStyle w:val="Compact"/>
        <w:numPr>
          <w:ilvl w:val="1"/>
          <w:numId w:val="1223"/>
        </w:numPr>
      </w:pPr>
      <w:r>
        <w:t xml:space="preserve">(3) The applicant shall make each new lot conform with the dimensional requirements of the zoning district to the greatest extent possible; and</w:t>
      </w:r>
    </w:p>
    <w:p>
      <w:pPr>
        <w:pStyle w:val="Compact"/>
        <w:numPr>
          <w:ilvl w:val="1"/>
          <w:numId w:val="1223"/>
        </w:numPr>
      </w:pPr>
      <w:r>
        <w:t xml:space="preserve">(4) Each new lot shall have the required minimum parking; and</w:t>
      </w:r>
    </w:p>
    <w:p>
      <w:pPr>
        <w:pStyle w:val="Compact"/>
        <w:numPr>
          <w:ilvl w:val="1"/>
          <w:numId w:val="1223"/>
        </w:numPr>
      </w:pPr>
      <w:r>
        <w:t xml:space="preserve">(5) Any new lot fronting on an unimproved public street shall improve the street frontage to Town standards for the entirety of the frontage; and</w:t>
      </w:r>
    </w:p>
    <w:p>
      <w:pPr>
        <w:pStyle w:val="Compact"/>
        <w:numPr>
          <w:ilvl w:val="1"/>
          <w:numId w:val="1223"/>
        </w:numPr>
      </w:pPr>
      <w:r>
        <w:t xml:space="preserve">(6) The Planning Board shall modify dimensional requirements for minimum lot area, setbacks, frontage, width, and lot coverage and assign dimensional requirements as necessary, in order to achieve one residential structure per record lot.</w:t>
      </w:r>
    </w:p>
    <w:p>
      <w:pPr>
        <w:pStyle w:val="Compact"/>
        <w:numPr>
          <w:ilvl w:val="1"/>
          <w:numId w:val="1223"/>
        </w:numPr>
      </w:pPr>
      <w:r>
        <w:t xml:space="preserve">(7) Any lot that includes affordable housing as approved under a Comprehensive Permit shall not be entitled to the provisions of this section if any of the resulting subdivided lots do not meet the dimensional requirements for that zone. This restriction shall be in effect in perpetuity, regardless if the term of the deed-restriction has expired.</w:t>
      </w:r>
    </w:p>
    <w:p>
      <w:pPr>
        <w:pStyle w:val="FirstParagraph"/>
      </w:pPr>
      <w:r>
        <w:rPr>
          <w:i/>
          <w:iCs/>
        </w:rPr>
        <w:t xml:space="preserve">Editor's Note: This ordinance also repealed former § 18-3, Granting of a special use permit, adopted by Ord. No. 08-31, 10-7-2009, and redesignated former §§ 18-4 through 18-7 as §§ 18-3 through 18-6, and former § 18-9 as § 18-7, respectively.</w:t>
      </w:r>
    </w:p>
    <w:bookmarkEnd w:id="179"/>
    <w:bookmarkStart w:id="180" w:name="modifications"/>
    <w:p>
      <w:pPr>
        <w:pStyle w:val="Heading2"/>
      </w:pPr>
      <w:r>
        <w:t xml:space="preserve">§ 18-4. Modifications</w:t>
      </w:r>
    </w:p>
    <w:p>
      <w:pPr>
        <w:pStyle w:val="FirstParagraph"/>
      </w:pPr>
      <w:r>
        <w:rPr>
          <w:i/>
          <w:iCs/>
        </w:rPr>
        <w:t xml:space="preserve">[Ord. No. 08-31, 10-7-2009; amended 12-6-2023 by Ord. No. 23-26]</w:t>
      </w:r>
    </w:p>
    <w:p>
      <w:pPr>
        <w:pStyle w:val="Compact"/>
        <w:numPr>
          <w:ilvl w:val="0"/>
          <w:numId w:val="1224"/>
        </w:numPr>
      </w:pPr>
      <w:r>
        <w:t xml:space="preserve">(a) In applications for relief from the literal dimensional requirements of this appendix as contained in Article 5 involving the construction, alteration, or structural modification of a structure or lot of record, the Zoning Officer shall be authorized to grant approval in the form of a modification permit. Such modification shall not exceed 15% of any dimensional requirement specified in this appendix.</w:t>
      </w:r>
    </w:p>
    <w:p>
      <w:pPr>
        <w:pStyle w:val="Compact"/>
        <w:numPr>
          <w:ilvl w:val="0"/>
          <w:numId w:val="1224"/>
        </w:numPr>
      </w:pPr>
      <w:r>
        <w:t xml:space="preserve">(b) Suitability Determination. Within 10 days of receipt of a request for a modification, the Zoning Officer shall make a decision as to the suitability of the requested modification, based on the following:</w:t>
      </w:r>
    </w:p>
    <w:p>
      <w:pPr>
        <w:pStyle w:val="Compact"/>
        <w:numPr>
          <w:ilvl w:val="1"/>
          <w:numId w:val="1225"/>
        </w:numPr>
      </w:pPr>
      <w:r>
        <w:t xml:space="preserve">(1) The modification requested is reasonably necessary for the full enjoyment of the permitted use;</w:t>
      </w:r>
    </w:p>
    <w:p>
      <w:pPr>
        <w:pStyle w:val="Compact"/>
        <w:numPr>
          <w:ilvl w:val="1"/>
          <w:numId w:val="1225"/>
        </w:numPr>
      </w:pPr>
      <w:r>
        <w:t xml:space="preserve">(2) If the modification is granted, neighboring property will neither be substantially injured nor its appropriate uses substantially impaired;</w:t>
      </w:r>
    </w:p>
    <w:p>
      <w:pPr>
        <w:pStyle w:val="Compact"/>
        <w:numPr>
          <w:ilvl w:val="1"/>
          <w:numId w:val="1225"/>
        </w:numPr>
      </w:pPr>
      <w:r>
        <w:t xml:space="preserve">(3) The modification requested does not violate any rules or regulations with respect to freshwater wetlands;</w:t>
      </w:r>
    </w:p>
    <w:p>
      <w:pPr>
        <w:pStyle w:val="Compact"/>
        <w:numPr>
          <w:ilvl w:val="1"/>
          <w:numId w:val="1225"/>
        </w:numPr>
      </w:pPr>
      <w:r>
        <w:t xml:space="preserve">(4) The modification requested does not require a variance of a flood hazard requirement, unless the building is built in accordance with applicable regulations.</w:t>
      </w:r>
    </w:p>
    <w:p>
      <w:pPr>
        <w:pStyle w:val="Compact"/>
        <w:numPr>
          <w:ilvl w:val="0"/>
          <w:numId w:val="1224"/>
        </w:numPr>
      </w:pPr>
      <w:r>
        <w:t xml:space="preserve">(c) In the case of a modification of 5% or less, the Zoning Officer shall have the authority to issue a permit approving the modification without any public notice requirements. All other provisions of this section shall apply to such administrative modification applications.</w:t>
      </w:r>
    </w:p>
    <w:p>
      <w:pPr>
        <w:pStyle w:val="Compact"/>
        <w:numPr>
          <w:ilvl w:val="0"/>
          <w:numId w:val="1224"/>
        </w:numPr>
      </w:pPr>
      <w:r>
        <w:t xml:space="preserve">(d) In the case of a modification greater than 5%, the Zoning Officer shall notify, by first class mail, all property owners abutting the property which is the subject of the modification request, and shall indicate the street address of the subject property in the notice, and shall publish notice in a newspaper of local circulation within the Town of Cumberland that the modification will be granted unless written objection is received within 14 days. If a written objection is received within 14 days of the public notice, the request for a modification shall be scheduled for the next available hearing before the Zoning Board of Review on application for a dimensional variance, following the standard procedures for such variances, including notice requirements provided for under this appendix. If no such written objection is received within 14 days, the Zoning Officer shall grant the modification, and in granting, may apply such special conditions to the permit as may, in the opinion of the Officer, be required to conform to the intent and purposes of this appendix.</w:t>
      </w:r>
    </w:p>
    <w:p>
      <w:pPr>
        <w:pStyle w:val="Compact"/>
        <w:numPr>
          <w:ilvl w:val="0"/>
          <w:numId w:val="1224"/>
        </w:numPr>
      </w:pPr>
      <w:r>
        <w:t xml:space="preserve">(e) The Zoning Officer shall keep public records of all requests for modifications, and of findings, determinations, special conditions, and any objections received.</w:t>
      </w:r>
    </w:p>
    <w:p>
      <w:pPr>
        <w:pStyle w:val="Compact"/>
        <w:numPr>
          <w:ilvl w:val="0"/>
          <w:numId w:val="1224"/>
        </w:numPr>
      </w:pPr>
      <w:r>
        <w:t xml:space="preserve">(f) Costs of any notice required under this section shall be borne by the applicant requesting the modification.</w:t>
      </w:r>
    </w:p>
    <w:bookmarkEnd w:id="180"/>
    <w:bookmarkStart w:id="181" w:name="special-conditions"/>
    <w:p>
      <w:pPr>
        <w:pStyle w:val="Heading2"/>
      </w:pPr>
      <w:r>
        <w:t xml:space="preserve">§ 18-5. Special conditions</w:t>
      </w:r>
    </w:p>
    <w:p>
      <w:pPr>
        <w:pStyle w:val="FirstParagraph"/>
      </w:pPr>
      <w:r>
        <w:rPr>
          <w:i/>
          <w:iCs/>
        </w:rPr>
        <w:t xml:space="preserve">[Ord. No. 08-31, 10-7-2009; amended 12-6-2023 by Ord. No. 23-26]</w:t>
      </w:r>
    </w:p>
    <w:p>
      <w:pPr>
        <w:pStyle w:val="BodyText"/>
      </w:pPr>
      <w:r>
        <w:t xml:space="preserve">In granting a variance or special use permit, or in making any determination upon which it is required to pass after public hearing under this appendix, the Board may apply such special conditions that may, in the opinion of the board, be required to promote the intent and purposes of the comprehensive plan of the Town and this appendix. Failure to abide by any special conditions attached to a grant shall constitute a zoning violation. Such special conditions shall be based on competent credible evidence on the record, be incorporated into the decision, and may include, but are not limited to, provisions for:</w:t>
      </w:r>
    </w:p>
    <w:p>
      <w:pPr>
        <w:pStyle w:val="Compact"/>
        <w:numPr>
          <w:ilvl w:val="0"/>
          <w:numId w:val="1226"/>
        </w:numPr>
      </w:pPr>
      <w:r>
        <w:t xml:space="preserve">(a) Minimizing adverse impact of the development upon other land, including the type, intensity, design, and performance of activities;</w:t>
      </w:r>
    </w:p>
    <w:p>
      <w:pPr>
        <w:pStyle w:val="Compact"/>
        <w:numPr>
          <w:ilvl w:val="0"/>
          <w:numId w:val="1226"/>
        </w:numPr>
      </w:pPr>
      <w:r>
        <w:t xml:space="preserve">(b) Controlling the sequence of development, including when it must be commenced and completed;</w:t>
      </w:r>
    </w:p>
    <w:p>
      <w:pPr>
        <w:pStyle w:val="Compact"/>
        <w:numPr>
          <w:ilvl w:val="0"/>
          <w:numId w:val="1226"/>
        </w:numPr>
      </w:pPr>
      <w:r>
        <w:t xml:space="preserve">(c) Controlling the duration of use or development and the time within which any temporary structure must be removed;</w:t>
      </w:r>
    </w:p>
    <w:p>
      <w:pPr>
        <w:pStyle w:val="Compact"/>
        <w:numPr>
          <w:ilvl w:val="0"/>
          <w:numId w:val="1226"/>
        </w:numPr>
      </w:pPr>
      <w:r>
        <w:t xml:space="preserve">(d) Assuring satisfactory installation and maintenance of required public improvements;</w:t>
      </w:r>
    </w:p>
    <w:p>
      <w:pPr>
        <w:pStyle w:val="Compact"/>
        <w:numPr>
          <w:ilvl w:val="0"/>
          <w:numId w:val="1226"/>
        </w:numPr>
      </w:pPr>
      <w:r>
        <w:t xml:space="preserve">(e) Designating the exact location and nature of development; and</w:t>
      </w:r>
    </w:p>
    <w:p>
      <w:pPr>
        <w:pStyle w:val="Compact"/>
        <w:numPr>
          <w:ilvl w:val="0"/>
          <w:numId w:val="1226"/>
        </w:numPr>
      </w:pPr>
      <w:r>
        <w:t xml:space="preserve">(f) Establishing detailed records by submission of drawings, maps, plats, or specifications.</w:t>
      </w:r>
    </w:p>
    <w:bookmarkEnd w:id="181"/>
    <w:bookmarkStart w:id="182" w:name="X45635058ebb1277f584cdb619542666fa57e3f6"/>
    <w:p>
      <w:pPr>
        <w:pStyle w:val="Heading2"/>
      </w:pPr>
      <w:r>
        <w:t xml:space="preserve">§ 18-6. Expiration of variances and special use permits</w:t>
      </w:r>
    </w:p>
    <w:p>
      <w:pPr>
        <w:pStyle w:val="FirstParagraph"/>
      </w:pPr>
      <w:r>
        <w:rPr>
          <w:i/>
          <w:iCs/>
        </w:rPr>
        <w:t xml:space="preserve">[Ord. No. 08-31, 10-7-2009; amended 12-6-2023 by Ord. No. 23-26]</w:t>
      </w:r>
    </w:p>
    <w:p>
      <w:pPr>
        <w:pStyle w:val="BodyText"/>
      </w:pPr>
      <w:r>
        <w:t xml:space="preserve">Any variance or special use permit shall expire one year after the date of the filing of the resolution with the Town Clerk unless the applicant shall, within one year, obtain a legal building permit and proceed with the construction; or obtain a certificate of occupancy when no legal building permit is required. Variances and special use permits obtained through unified development review. The board may, upon written request and for cause shown prior to the expiration of the initial one-year period, renew the variance or special use permit for a second one-year period. Said request for an extension need not be advertised.</w:t>
      </w:r>
    </w:p>
    <w:p>
      <w:pPr>
        <w:pStyle w:val="BodyText"/>
      </w:pPr>
      <w:r>
        <w:t xml:space="preserve">Should an applicant fail to begin construction with a legal building permit, or obtain a certificate of occupancy within the second one-year period, the board may upon written request prior to the expiration of the second one-year period, renew the variance or special use permit for a third one-year period provided that the applicant can demonstrate due diligence in proceeding and substantial financial commitment in promoting the subject of the variance or special use permit since the date of the filing of the resolution, and notice shall be given in accordance with Section 18-1(c) and a hearing shall be held on the request the granting of the variance or special use permit shall be null and void, and any further request for such relief shall require the submittal of a new application with notice given and a hearing held in accordance with Section 18-1(c).</w:t>
      </w:r>
    </w:p>
    <w:p>
      <w:pPr>
        <w:pStyle w:val="BodyText"/>
      </w:pPr>
      <w:r>
        <w:t xml:space="preserve">Notwithstanding this provision, in the event an applicant receives extensions from the Planning Board, in conjunction with development approvals, variances and special use permits granted by the Board, shall expire on the date such Planning Board approvals expire.</w:t>
      </w:r>
    </w:p>
    <w:p>
      <w:pPr>
        <w:pStyle w:val="BodyText"/>
      </w:pPr>
      <w:r>
        <w:t xml:space="preserve">None of the year periods shall run during the pendency of any superior court actions seeking to overturn the grant.</w:t>
      </w:r>
    </w:p>
    <w:bookmarkEnd w:id="182"/>
    <w:bookmarkStart w:id="183" w:name="X3e6b3ce8bbaabd7a4d8d9baa89be5d46e727fca"/>
    <w:p>
      <w:pPr>
        <w:pStyle w:val="Heading2"/>
      </w:pPr>
      <w:r>
        <w:t xml:space="preserve">§ 18-7. Small hydroelectric generation facilities</w:t>
      </w:r>
    </w:p>
    <w:p>
      <w:pPr>
        <w:pStyle w:val="FirstParagraph"/>
      </w:pPr>
      <w:r>
        <w:rPr>
          <w:i/>
          <w:iCs/>
        </w:rPr>
        <w:t xml:space="preserve">[Added 2-6-2019 by Ord. No. 18-25A; amended 12-6-2023 by Ord. No. 23-26]</w:t>
      </w:r>
    </w:p>
    <w:p>
      <w:pPr>
        <w:numPr>
          <w:ilvl w:val="0"/>
          <w:numId w:val="1227"/>
        </w:numPr>
      </w:pPr>
      <w:r>
        <w:t xml:space="preserve">(a) Definitions. As used in this section, the following terms shall have the meanings indicated:</w:t>
      </w:r>
    </w:p>
    <w:p>
      <w:pPr>
        <w:numPr>
          <w:ilvl w:val="0"/>
          <w:numId w:val="1000"/>
        </w:numPr>
      </w:pPr>
      <w:r>
        <w:t xml:space="preserve">FEDERAL ENERGY REGULATORY COMMISSION — The federal commission within the United States Department of Energy that is authorized under the Federal Power Act to issue hydroelectric generation licenses using or affecting Waters of the United States.</w:t>
      </w:r>
    </w:p>
    <w:p>
      <w:pPr>
        <w:numPr>
          <w:ilvl w:val="0"/>
          <w:numId w:val="1000"/>
        </w:numPr>
      </w:pPr>
      <w:r>
        <w:t xml:space="preserve">GRID-INTERCONNECTED FACILITY — A facility that is connected to an electric circuit served by an electric utility.</w:t>
      </w:r>
    </w:p>
    <w:p>
      <w:pPr>
        <w:numPr>
          <w:ilvl w:val="0"/>
          <w:numId w:val="1000"/>
        </w:numPr>
      </w:pPr>
      <w:r>
        <w:t xml:space="preserve">HYDROELECTRIC GENERATION — Converting the power potential of flowing water to kinetic energy for the purpose of generating electricity. The most common type of hydroelectric generation facility uses a dam on a river, which impounds water.</w:t>
      </w:r>
    </w:p>
    <w:p>
      <w:pPr>
        <w:numPr>
          <w:ilvl w:val="0"/>
          <w:numId w:val="1000"/>
        </w:numPr>
      </w:pPr>
      <w:r>
        <w:t xml:space="preserve">HYDROELECTRIC GENERATION FACILITY ("FACILITY") — Any facility using the power potential of flowing water over a dam to generate electricity.</w:t>
      </w:r>
    </w:p>
    <w:p>
      <w:pPr>
        <w:numPr>
          <w:ilvl w:val="0"/>
          <w:numId w:val="1000"/>
        </w:numPr>
      </w:pPr>
      <w:r>
        <w:t xml:space="preserve">LOW IMPACT OR "RUN-OF-RIVER" HYDROELECTRIC GENERATION FACILITY — A facility that produces electricity without the storage of water, where inflow to the facility equals outflow from the facility at all times and where water levels are not drawn down for the purpose of generating power.</w:t>
      </w:r>
    </w:p>
    <w:p>
      <w:pPr>
        <w:numPr>
          <w:ilvl w:val="0"/>
          <w:numId w:val="1000"/>
        </w:numPr>
      </w:pPr>
      <w:r>
        <w:t xml:space="preserve">NAMEPLATE CAPACITY — The maximum output of electric power production of the hydroelectric generation facility, commonly expressed in megawatts (MW) or kilowatts (KW).</w:t>
      </w:r>
    </w:p>
    <w:p>
      <w:pPr>
        <w:numPr>
          <w:ilvl w:val="0"/>
          <w:numId w:val="1000"/>
        </w:numPr>
      </w:pPr>
      <w:r>
        <w:t xml:space="preserve">PUBLIC DRINKING WATER SUPPLY — The source of surface water for a public drinking water supplier.</w:t>
      </w:r>
    </w:p>
    <w:p>
      <w:pPr>
        <w:numPr>
          <w:ilvl w:val="0"/>
          <w:numId w:val="1000"/>
        </w:numPr>
      </w:pPr>
      <w:r>
        <w:t xml:space="preserve">SMALL HYDROELECTRIC GENERATION FACILITY — Any low impact or "run-of-river" hydroelectric generation facility using the power potential of flowing water over a dam to generate electricity with a total installed nameplate capacity of 2.0 MW or less. No facility shall be constructed, installed, or modified without first obtaining a license pursuant to the requirements of the Federal Power Act issued by the Federal Energy Regulatory Commission.</w:t>
      </w:r>
    </w:p>
    <w:p>
      <w:pPr>
        <w:numPr>
          <w:ilvl w:val="0"/>
          <w:numId w:val="1000"/>
        </w:numPr>
      </w:pPr>
      <w:r>
        <w:rPr>
          <w:i/>
          <w:iCs/>
        </w:rPr>
        <w:t xml:space="preserve">Editor's Note: See 16 U.S.C. AA 791 et seq.</w:t>
      </w:r>
    </w:p>
    <w:p>
      <w:pPr>
        <w:pStyle w:val="Compact"/>
        <w:numPr>
          <w:ilvl w:val="0"/>
          <w:numId w:val="1227"/>
        </w:numPr>
      </w:pPr>
      <w:r>
        <w:t xml:space="preserve">(b) No small hydroelectric generation facility shall be constructed on a public drinking water supply in the Town of Cumberland, as depicted on the Rhode Island Department of Environmental Management Environmental Resource Map.</w:t>
      </w:r>
    </w:p>
    <w:p>
      <w:pPr>
        <w:pStyle w:val="Compact"/>
        <w:numPr>
          <w:ilvl w:val="0"/>
          <w:numId w:val="1227"/>
        </w:numPr>
      </w:pPr>
      <w:r>
        <w:t xml:space="preserve">(c) Building Permit. No facility shall be constructed, installed, or modified without first obtaining a building permit and shall be subject to periodic inspections as deemed necessary by the Building Official.</w:t>
      </w:r>
    </w:p>
    <w:p>
      <w:pPr>
        <w:numPr>
          <w:ilvl w:val="0"/>
          <w:numId w:val="1227"/>
        </w:numPr>
      </w:pPr>
      <w:r>
        <w:t xml:space="preserve">(d) Major Land Development Project. No facility shall be constructed, installed, or modified without first obtaining approval from the Planning Board for a major land development project in accordance with the Land Development and Subdivision Regulations.</w:t>
      </w:r>
    </w:p>
    <w:p>
      <w:pPr>
        <w:numPr>
          <w:ilvl w:val="0"/>
          <w:numId w:val="1000"/>
        </w:numPr>
      </w:pPr>
      <w:r>
        <w:rPr>
          <w:i/>
          <w:iCs/>
        </w:rPr>
        <w:t xml:space="preserve">Editor's Note: See Appendix A, Land Development and Subdivision Regulations.</w:t>
      </w:r>
    </w:p>
    <w:p>
      <w:pPr>
        <w:pStyle w:val="Compact"/>
        <w:numPr>
          <w:ilvl w:val="0"/>
          <w:numId w:val="1227"/>
        </w:numPr>
      </w:pPr>
      <w:r>
        <w:t xml:space="preserve">(e) Special Use Permit. No facility shall be constructed, installed, or modified without first obtaining a special use permit from the Zoning Board of Review. In addition to other requirements of this article, the following design and operation standards shall be met in order to meet the requirements of a special use permit.</w:t>
      </w:r>
    </w:p>
    <w:p>
      <w:pPr>
        <w:pStyle w:val="Compact"/>
        <w:numPr>
          <w:ilvl w:val="1"/>
          <w:numId w:val="1228"/>
        </w:numPr>
      </w:pPr>
      <w:r>
        <w:t xml:space="preserve">(1) Site control. The facility proponent shall submit documentation of actual or prospective access and control of the facility site sufficient to allow for the construction and operation of the proposed facility.</w:t>
      </w:r>
    </w:p>
    <w:p>
      <w:pPr>
        <w:pStyle w:val="Compact"/>
        <w:numPr>
          <w:ilvl w:val="1"/>
          <w:numId w:val="1228"/>
        </w:numPr>
      </w:pPr>
      <w:r>
        <w:t xml:space="preserve">(2) Operation and maintenance plan. The facility proponent shall submit a plan for the operation and maintenance of the facility, which shall include measures for maintaining safe access to the facility, stormwater controls, as well as general procedures for operational maintenance of the facility</w:t>
      </w:r>
    </w:p>
    <w:p>
      <w:pPr>
        <w:pStyle w:val="Compact"/>
        <w:numPr>
          <w:ilvl w:val="1"/>
          <w:numId w:val="1228"/>
        </w:numPr>
      </w:pPr>
      <w:r>
        <w:t xml:space="preserve">(3) Utility notification. No grid-interconnected facility shall be constructed until evidence has been given to the Planning Department that the facility proponent has submitted notification to the utility company of the intent to construct and operate an interconnected generation facility.</w:t>
      </w:r>
    </w:p>
    <w:p>
      <w:pPr>
        <w:pStyle w:val="Compact"/>
        <w:numPr>
          <w:ilvl w:val="1"/>
          <w:numId w:val="1228"/>
        </w:numPr>
      </w:pPr>
      <w:r>
        <w:t xml:space="preserve">(4) Lighting. Lighting of small hydroelectric generation facilities shall be consistent with local, state, and federal law. Lighting of other parts of the installation, such as appurtenant structures, shall be limited to that required for safety and operational purposes and shall be reasonably shielded from abutting properties.</w:t>
      </w:r>
    </w:p>
    <w:p>
      <w:pPr>
        <w:pStyle w:val="Compact"/>
        <w:numPr>
          <w:ilvl w:val="1"/>
          <w:numId w:val="1228"/>
        </w:numPr>
      </w:pPr>
      <w:r>
        <w:t xml:space="preserve">(5) Noise. Noise levels generated by small hydroelectric generation facilities shall be consistent with federal and state law and shall comply with the ambient noise level thresholds prescribed by the Town of Cumberland Code of Ordinances.</w:t>
      </w:r>
    </w:p>
    <w:p>
      <w:pPr>
        <w:pStyle w:val="Compact"/>
        <w:numPr>
          <w:ilvl w:val="1"/>
          <w:numId w:val="1228"/>
        </w:numPr>
      </w:pPr>
      <w:r>
        <w:t xml:space="preserve">(6) Signage. Signs on small hydroelectric generation facilities shall comply with the Town of Cumberland Zoning Ordinance. Signs shall display identification of the owner or operator of the facility and a twenty-four-hour emergency contact telephone number.</w:t>
      </w:r>
    </w:p>
    <w:p>
      <w:pPr>
        <w:pStyle w:val="Compact"/>
        <w:numPr>
          <w:ilvl w:val="1"/>
          <w:numId w:val="1228"/>
        </w:numPr>
      </w:pPr>
      <w:r>
        <w:t xml:space="preserve">(7) Security. Small hydroelectric generation facilities shall, at a minimum, comply with federal law and any specific requirements prescribed by the Federal Energy Regulatory Commission. The Town of Cumberland may require additional security measures which are not inconsistent with the requirements prescribed by the Federal Energy Regulatory Commission.</w:t>
      </w:r>
    </w:p>
    <w:p>
      <w:pPr>
        <w:pStyle w:val="Compact"/>
        <w:numPr>
          <w:ilvl w:val="1"/>
          <w:numId w:val="1228"/>
        </w:numPr>
      </w:pPr>
      <w:r>
        <w:t xml:space="preserve">(8) Emergency services. All means of shutting down the facility shall be clearly marked. The facility owner or operator shall:</w:t>
      </w:r>
    </w:p>
    <w:p>
      <w:pPr>
        <w:pStyle w:val="Compact"/>
        <w:numPr>
          <w:ilvl w:val="2"/>
          <w:numId w:val="1229"/>
        </w:numPr>
      </w:pPr>
      <w:r>
        <w:t xml:space="preserve">a. Provide a copy of the facility's emergency action plan to the local Fire Chief;</w:t>
      </w:r>
    </w:p>
    <w:p>
      <w:pPr>
        <w:pStyle w:val="Compact"/>
        <w:numPr>
          <w:ilvl w:val="2"/>
          <w:numId w:val="1229"/>
        </w:numPr>
      </w:pPr>
      <w:r>
        <w:t xml:space="preserve">b. Cooperate with federal, state, and local emergency services in developing emergency response actions; and</w:t>
      </w:r>
    </w:p>
    <w:p>
      <w:pPr>
        <w:pStyle w:val="Compact"/>
        <w:numPr>
          <w:ilvl w:val="2"/>
          <w:numId w:val="1229"/>
        </w:numPr>
      </w:pPr>
      <w:r>
        <w:t xml:space="preserve">c. Identify a responsible person for public inquiries throughout the life of the facility.</w:t>
      </w:r>
    </w:p>
    <w:p>
      <w:pPr>
        <w:pStyle w:val="Compact"/>
        <w:numPr>
          <w:ilvl w:val="1"/>
          <w:numId w:val="1228"/>
        </w:numPr>
      </w:pPr>
      <w:r>
        <w:t xml:space="preserve">(9) Land clearing. Clearing of natural vegetation shall be limited to what is necessary for the construction, operation, and maintenance of the facility or otherwise prescribed by applicable laws, regulations, and bylaws/ordinances.</w:t>
      </w:r>
    </w:p>
    <w:p>
      <w:pPr>
        <w:pStyle w:val="Compact"/>
        <w:numPr>
          <w:ilvl w:val="1"/>
          <w:numId w:val="1228"/>
        </w:numPr>
      </w:pPr>
      <w:r>
        <w:t xml:space="preserve">(10) Monitoring and maintenance: small hydroelectric generation facility conditions. The facility owner or operator shall maintain the facility in accordance with the requirements of the federal hydroelectric generation license issued by the Federal Energy Regulatory Commission. In addition, maintenance shall include, but not be limited to, painting, structural repairs, and integrity of security measures. Site access shall be maintained to a level acceptable to the local Fire Chief, Emergency Management Director, and emergency medical services. The owner or operator shall be responsible for the cost of maintaining the facility and any access road(s), unless accepted as a public way.</w:t>
      </w:r>
    </w:p>
    <w:p>
      <w:pPr>
        <w:pStyle w:val="Compact"/>
        <w:numPr>
          <w:ilvl w:val="1"/>
          <w:numId w:val="1228"/>
        </w:numPr>
      </w:pPr>
      <w:r>
        <w:t xml:space="preserve">(11) Financial surety. The facility proponent shall be required to provide a form of surety, either through escrow account, bond, or otherwise, to cover the cost of decommissioning and removing the facility at the end of the federal hydroelectric license term and for restoring the landscape, in an amount and form determined to be reasonable by the Planning Board and subject to review by the Town Solicitor.</w:t>
      </w:r>
    </w:p>
    <w:bookmarkEnd w:id="183"/>
    <w:bookmarkStart w:id="184" w:name="solar-energy-systems-and-facilities"/>
    <w:p>
      <w:pPr>
        <w:pStyle w:val="Heading2"/>
      </w:pPr>
      <w:r>
        <w:t xml:space="preserve">§ 18-8. Solar energy systems and facilities</w:t>
      </w:r>
    </w:p>
    <w:p>
      <w:pPr>
        <w:pStyle w:val="FirstParagraph"/>
      </w:pPr>
      <w:r>
        <w:rPr>
          <w:i/>
          <w:iCs/>
        </w:rPr>
        <w:t xml:space="preserve">[Added 10-5-2016 by Ord. No. 16-19; amended 2-15-2017 by Ord. No. 17-01A; 6-5-2019 by Ord. No. 19-09A; 1-15-2020 by Ord. No. 19-34A; 12-6-2023 by Ord. No. 23-26]</w:t>
      </w:r>
    </w:p>
    <w:p>
      <w:pPr>
        <w:numPr>
          <w:ilvl w:val="0"/>
          <w:numId w:val="1230"/>
        </w:numPr>
      </w:pPr>
      <w:r>
        <w:t xml:space="preserve">(a) Definitions. As used in this section, the following terms shall have the meanings indicated:</w:t>
      </w:r>
    </w:p>
    <w:p>
      <w:pPr>
        <w:numPr>
          <w:ilvl w:val="0"/>
          <w:numId w:val="1000"/>
        </w:numPr>
      </w:pPr>
      <w:r>
        <w:t xml:space="preserve">PHOTOVOLTAIC SYSTEM — An active solar energy system that converts solar energy directly into electricity.</w:t>
      </w:r>
    </w:p>
    <w:p>
      <w:pPr>
        <w:numPr>
          <w:ilvl w:val="0"/>
          <w:numId w:val="1000"/>
        </w:numPr>
      </w:pPr>
      <w:r>
        <w:t xml:space="preserve">RATED NAMEPLATE CAPACITY — The maximum rated output of electric power production of the photovoltaic system in watts of alternating current (AC).</w:t>
      </w:r>
    </w:p>
    <w:p>
      <w:pPr>
        <w:numPr>
          <w:ilvl w:val="0"/>
          <w:numId w:val="1000"/>
        </w:numPr>
      </w:pPr>
      <w:r>
        <w:t xml:space="preserve">SOLAR ACCESS — The access of a solar energy system to direct sunlight.</w:t>
      </w:r>
    </w:p>
    <w:p>
      <w:pPr>
        <w:numPr>
          <w:ilvl w:val="0"/>
          <w:numId w:val="1000"/>
        </w:numPr>
      </w:pPr>
      <w:r>
        <w:t xml:space="preserve">SOLAR COLLECTOR — A device, structure or part of a device or structure for which the primary purpose is to transform solar radiant energy into thermal, mechanical, chemical, or electrical energy.</w:t>
      </w:r>
    </w:p>
    <w:p>
      <w:pPr>
        <w:numPr>
          <w:ilvl w:val="0"/>
          <w:numId w:val="1000"/>
        </w:numPr>
      </w:pPr>
      <w:r>
        <w:t xml:space="preserve">SOLAR ENERGY — Radiant energy received from the sun that can be collected in the form of heat or light by a solar collector.</w:t>
      </w:r>
    </w:p>
    <w:p>
      <w:pPr>
        <w:numPr>
          <w:ilvl w:val="0"/>
          <w:numId w:val="1000"/>
        </w:numPr>
      </w:pPr>
      <w:r>
        <w:t xml:space="preserve">SOLAR ENERGY SYSTEM — A device or specific-use structural design feature, a substantial purpose of which is to provide for the collection, storage, and distribution of solar energy for space heating or cooling, electricity generation, or water heating.</w:t>
      </w:r>
    </w:p>
    <w:p>
      <w:pPr>
        <w:numPr>
          <w:ilvl w:val="0"/>
          <w:numId w:val="1000"/>
        </w:numPr>
      </w:pPr>
      <w:r>
        <w:t xml:space="preserve">SOLAR ENERGY SYSTEM, ACTIVE — A solar energy system whose primary purpose is to harvest energy by transforming solar energy into another form of energy or transferring heat from a collector to another medium using mechanical, electrical, or chemical means.</w:t>
      </w:r>
    </w:p>
    <w:p>
      <w:pPr>
        <w:numPr>
          <w:ilvl w:val="0"/>
          <w:numId w:val="1000"/>
        </w:numPr>
      </w:pPr>
      <w:r>
        <w:t xml:space="preserve">SOLAR ENERGY SYSTEM, COVERED PARKING — An active solar energy system that is structurally mounted to the ground yet additionally maintains a permanent function to park vehicles under; may be of any size (minor, medium, or major scale).</w:t>
      </w:r>
    </w:p>
    <w:p>
      <w:pPr>
        <w:numPr>
          <w:ilvl w:val="0"/>
          <w:numId w:val="1000"/>
        </w:numPr>
      </w:pPr>
      <w:r>
        <w:t xml:space="preserve">SOLAR ENERGY SYSTEM, GRID-INTERTIE — A photovoltaic system that is connected to an electric circuit served by an electric utility.</w:t>
      </w:r>
    </w:p>
    <w:p>
      <w:pPr>
        <w:numPr>
          <w:ilvl w:val="0"/>
          <w:numId w:val="1000"/>
        </w:numPr>
      </w:pPr>
      <w:r>
        <w:t xml:space="preserve">SOLAR ENERGY SYSTEM, GROUND-MOUNTED — An active solar energy system that is structurally mounted to the ground and is not roof-mounted; may be of any size (minor, medium, or major scale).</w:t>
      </w:r>
    </w:p>
    <w:p>
      <w:pPr>
        <w:numPr>
          <w:ilvl w:val="0"/>
          <w:numId w:val="1000"/>
        </w:numPr>
      </w:pPr>
      <w:r>
        <w:t xml:space="preserve">SOLAR ENERGY SYSTEM, MAJOR — An active solar energy system that occupies more than 40,000 square feet of surface area, including inter-row and panel/collector spacing or has a rated nameplate capacity 250kW AC or greater.</w:t>
      </w:r>
    </w:p>
    <w:p>
      <w:pPr>
        <w:numPr>
          <w:ilvl w:val="0"/>
          <w:numId w:val="1000"/>
        </w:numPr>
      </w:pPr>
      <w:r>
        <w:t xml:space="preserve">SOLAR ENERGY SYSTEM, MEDIUM — An active solar energy system that occupies more than 1,750 square feet but less than 40,000 square feet of surface area, including inter-row and panel/collector spacing or has a rated nameplate capacity 25-250kW AC.</w:t>
      </w:r>
    </w:p>
    <w:p>
      <w:pPr>
        <w:numPr>
          <w:ilvl w:val="0"/>
          <w:numId w:val="1000"/>
        </w:numPr>
      </w:pPr>
      <w:r>
        <w:t xml:space="preserve">SOLAR ENERGY SYSTEM, MINOR — An active solar energy system that occupies 1,750 square feet of surface area or less, inter-row and panel/collector spacing or has a rated nameplate capacity 25kW AC or less.</w:t>
      </w:r>
    </w:p>
    <w:p>
      <w:pPr>
        <w:numPr>
          <w:ilvl w:val="0"/>
          <w:numId w:val="1000"/>
        </w:numPr>
      </w:pPr>
      <w:r>
        <w:t xml:space="preserve">SOLAR ENERGY SYSTEM, OFF-GRID — A photovoltaic system in which the circuits energized by the solar energy system are not electrically connected in any way to electric circuits that are served by an electric utility.</w:t>
      </w:r>
    </w:p>
    <w:p>
      <w:pPr>
        <w:numPr>
          <w:ilvl w:val="0"/>
          <w:numId w:val="1000"/>
        </w:numPr>
      </w:pPr>
      <w:r>
        <w:t xml:space="preserve">SOLAR ENERGY SYSTEM, PASSIVE — A solar energy system that captures solar light or heat without transforming it to another form of energy or transferring the energy via a heat exchange.</w:t>
      </w:r>
    </w:p>
    <w:p>
      <w:pPr>
        <w:numPr>
          <w:ilvl w:val="0"/>
          <w:numId w:val="1000"/>
        </w:numPr>
      </w:pPr>
      <w:r>
        <w:t xml:space="preserve">SOLAR ENERGY SYSTEM, ROOF-MOUNTED — An active solar energy system that is structurally mounted to, or structurally ballasted on the roof of, a building or structure; includes solar shingles; may be of any size (minor, medium, or major scale).</w:t>
      </w:r>
    </w:p>
    <w:p>
      <w:pPr>
        <w:pStyle w:val="Compact"/>
        <w:numPr>
          <w:ilvl w:val="0"/>
          <w:numId w:val="1230"/>
        </w:numPr>
      </w:pPr>
      <w:r>
        <w:t xml:space="preserve">(b) Building Permit. No solar energy system shall be constructed, installed or modified without first obtaining a building permit and shall be subject to periodic inspections as deemed necessary by the Building Official.</w:t>
      </w:r>
    </w:p>
    <w:p>
      <w:pPr>
        <w:pStyle w:val="Compact"/>
        <w:numPr>
          <w:ilvl w:val="0"/>
          <w:numId w:val="1230"/>
        </w:numPr>
      </w:pPr>
      <w:r>
        <w:t xml:space="preserve">(c) Dimensional Regulations Ground-Mounted Solar Energy Systems.</w:t>
      </w:r>
    </w:p>
    <w:p>
      <w:pPr>
        <w:pStyle w:val="Compact"/>
        <w:numPr>
          <w:ilvl w:val="1"/>
          <w:numId w:val="1231"/>
        </w:numPr>
      </w:pPr>
      <w:r>
        <w:t xml:space="preserve">(1) The maximum height of a ground-mounted solar energy system shall be 12 feet, with the exception of solar covered parking structures which shall have a maximum height of 18 feet from the ground, as measured from the pre-development lot grade at the location of the panel. The height shall be measured from the ground level or the base of the system's pedestal to the highest point of the solar energy system, including the top of any support structure or panel.</w:t>
      </w:r>
    </w:p>
    <w:p>
      <w:pPr>
        <w:pStyle w:val="Compact"/>
        <w:numPr>
          <w:ilvl w:val="1"/>
          <w:numId w:val="1231"/>
        </w:numPr>
      </w:pPr>
      <w:r>
        <w:t xml:space="preserve">(2) Setbacks. Small- and medium-scale ground-mounted solar energy systems that are accessory to a primary building or structure on a lot are provided with more flexible setback requirements than those that would typically apply to a primary structure. Whenever a solar energy system is sited as a principal structure on a lot, the setback requirements for principal structures in that zoning district apply.</w:t>
      </w:r>
    </w:p>
    <w:p>
      <w:pPr>
        <w:pStyle w:val="Compact"/>
        <w:numPr>
          <w:ilvl w:val="2"/>
          <w:numId w:val="1232"/>
        </w:numPr>
      </w:pPr>
      <w:r>
        <w:t xml:space="preserve">a. Minor ground-mounted solar energy systems accessory to principal structures may be located no closer than 1/2 of the setback that would otherwise apply or 20 feet from the front, side, or rear site lines, whichever is greater. Medium-scale ground-mounted solar installations should maintain the same setbacks as accessory structures.</w:t>
      </w:r>
    </w:p>
    <w:p>
      <w:pPr>
        <w:pStyle w:val="Compact"/>
        <w:numPr>
          <w:ilvl w:val="1"/>
          <w:numId w:val="1231"/>
        </w:numPr>
      </w:pPr>
      <w:r>
        <w:t xml:space="preserve">(3) Lot coverage. Major and medium ground-mounted solar installations shall cover no greater that 20% of a lot of contiguous lots in common ownership. In Industrial-2 ("I-2") Zoning Districts, for lots over 10 acres in size, up to 30% of lot coverage is allowed, including areas where trees and/or vegetation have been disturbed and/or removed previous to the enactment of this article. In no event shall any ground-mounted solar installation on any lot or contiguous lots in the same or related ownership exceed 10 acres of land determined by lot coverage as set forth above. The term "lot coverage," for the purpose of this section only, shall mean only the area of land physically covered by solar panels and accessory buildings, but shall not include any area or spaces between solar panels. Trees and/or vegetation shall, for purposes of this section only, mean trees with a twenty-four-inch diameter at breast height measured 4.5 feet above the ground minimum.</w:t>
      </w:r>
    </w:p>
    <w:p>
      <w:pPr>
        <w:pStyle w:val="Compact"/>
        <w:numPr>
          <w:ilvl w:val="1"/>
          <w:numId w:val="1231"/>
        </w:numPr>
      </w:pPr>
      <w:r>
        <w:t xml:space="preserve">(4) Solar energy systems with grass or another pervious surface under them are exempt from impervious surface calculations. If the area is paved or otherwise rendered impervious, then it counts towards any coverage or impervious surface limit. This exemption is not intended to apply to municipal stormwater regulations, as the panels could have the effect of altering volume, velocity, and discharge pattern of stormwater runoff.</w:t>
      </w:r>
    </w:p>
    <w:p>
      <w:pPr>
        <w:pStyle w:val="Compact"/>
        <w:numPr>
          <w:ilvl w:val="1"/>
          <w:numId w:val="1231"/>
        </w:numPr>
      </w:pPr>
      <w:r>
        <w:t xml:space="preserve">(5) Emergency access as approved by the Fire Department.</w:t>
      </w:r>
    </w:p>
    <w:p>
      <w:pPr>
        <w:pStyle w:val="Compact"/>
        <w:numPr>
          <w:ilvl w:val="1"/>
          <w:numId w:val="1231"/>
        </w:numPr>
      </w:pPr>
      <w:r>
        <w:t xml:space="preserve">(6) The applicant shall commission and submit at the time of building permit application a wildlife assessment (impact study), conducted by a qualified wildlife expert having no less than five years of experience conducting wildlife assessments, indicating possible risks to local wildlife, habitat, and migratory birds. Additionally, the applicant's wildlife Dimensional/Design Regulations: Roof-Mounted Solar Energy Systems.expert shall also develop a mitigation plan, if applicable, that addresses/mitigates any risk to wildlife, migratory birds, and affiliated habitat.</w:t>
      </w:r>
    </w:p>
    <w:p>
      <w:pPr>
        <w:pStyle w:val="Compact"/>
        <w:numPr>
          <w:ilvl w:val="0"/>
          <w:numId w:val="1230"/>
        </w:numPr>
      </w:pPr>
      <w:r>
        <w:t xml:space="preserve">(d) Dimensional/Design Regulations: Roof-Mounted Solar Energy Systems.</w:t>
      </w:r>
    </w:p>
    <w:p>
      <w:pPr>
        <w:pStyle w:val="Compact"/>
        <w:numPr>
          <w:ilvl w:val="1"/>
          <w:numId w:val="1233"/>
        </w:numPr>
      </w:pPr>
      <w:r>
        <w:t xml:space="preserve">(1) Photovoltaic roofing shingles or tiles are preferred and may be directly applied to the roof surface. With such shingle or tile installation a standard red rectangle sign stating "photovoltaic power source" shall be mounted to the area of the electric meter, and a disconnect accessible from the ground shall be installed in this same area.</w:t>
      </w:r>
    </w:p>
    <w:p>
      <w:pPr>
        <w:pStyle w:val="Compact"/>
        <w:numPr>
          <w:ilvl w:val="1"/>
          <w:numId w:val="1233"/>
        </w:numPr>
      </w:pPr>
      <w:r>
        <w:t xml:space="preserve">(2) Solar devices shall be considered part of the overall design of the structure. Color, shape and proportions of the solar devices should not conflict with the shape and proportions of the roof.</w:t>
      </w:r>
    </w:p>
    <w:p>
      <w:pPr>
        <w:pStyle w:val="Compact"/>
        <w:numPr>
          <w:ilvl w:val="1"/>
          <w:numId w:val="1233"/>
        </w:numPr>
      </w:pPr>
      <w:r>
        <w:t xml:space="preserve">(3) Rooftop solar energy systems must not increase the footprint of the structure, and must not extend within four feet of any edge of a roof surface.</w:t>
      </w:r>
    </w:p>
    <w:p>
      <w:pPr>
        <w:pStyle w:val="Compact"/>
        <w:numPr>
          <w:ilvl w:val="1"/>
          <w:numId w:val="1233"/>
        </w:numPr>
      </w:pPr>
      <w:r>
        <w:t xml:space="preserve">(4) Flat roofs. Set solar devices back from the edge and/or behind architectural features to be minimally visible. Panels and devices may be set at a pitch and elevated, if not visible from public streets.</w:t>
      </w:r>
    </w:p>
    <w:p>
      <w:pPr>
        <w:pStyle w:val="Compact"/>
        <w:numPr>
          <w:ilvl w:val="1"/>
          <w:numId w:val="1233"/>
        </w:numPr>
      </w:pPr>
      <w:r>
        <w:t xml:space="preserve">(5) Pitched roofs. Unless there is no other viable alternative, locate solar panels away from public view so as to not change the character of the building. The system must be parallel to the roofline. Otherwise, location on a primary or street-facing roof plane is not allowed.</w:t>
      </w:r>
    </w:p>
    <w:p>
      <w:pPr>
        <w:pStyle w:val="Compact"/>
        <w:numPr>
          <w:ilvl w:val="0"/>
          <w:numId w:val="1230"/>
        </w:numPr>
      </w:pPr>
      <w:r>
        <w:t xml:space="preserve">(e) Major Solar Energy Systems. Proposals for major solar energy systems and ground-mounted medium solar energy systems shall be required to comply with the requirements for major land development review under the provisions of AA 5-F of the Cumberland Land Development and Subdivision Regulations.tems.</w:t>
      </w:r>
    </w:p>
    <w:p>
      <w:pPr>
        <w:pStyle w:val="Compact"/>
        <w:numPr>
          <w:ilvl w:val="0"/>
          <w:numId w:val="1230"/>
        </w:numPr>
      </w:pPr>
      <w:r>
        <w:t xml:space="preserve">(f) Design and Operation Standards: Major and Medium Solar Energy Systems.</w:t>
      </w:r>
    </w:p>
    <w:p>
      <w:pPr>
        <w:pStyle w:val="Compact"/>
        <w:numPr>
          <w:ilvl w:val="1"/>
          <w:numId w:val="1234"/>
        </w:numPr>
      </w:pPr>
      <w:r>
        <w:t xml:space="preserve">(1) Site control. The project proponent shall submit documentation of actual or prospective access and control of the project site sufficient to allow for the construction and operation of the proposed energy system.</w:t>
      </w:r>
    </w:p>
    <w:p>
      <w:pPr>
        <w:pStyle w:val="Compact"/>
        <w:numPr>
          <w:ilvl w:val="1"/>
          <w:numId w:val="1234"/>
        </w:numPr>
      </w:pPr>
      <w:r>
        <w:t xml:space="preserve">(2) Operation and maintenance plan. The project proponent shall submit a plan for the operation and maintenance of the large-scale ground-mounted solar energy system, which shall include measures for maintaining safe access to the installation, stormwater controls, as well as general procedures for operational maintenance of the installation.</w:t>
      </w:r>
    </w:p>
    <w:p>
      <w:pPr>
        <w:pStyle w:val="Compact"/>
        <w:numPr>
          <w:ilvl w:val="1"/>
          <w:numId w:val="1234"/>
        </w:numPr>
      </w:pPr>
      <w:r>
        <w:t xml:space="preserve">(3) Utility notification. No grid-intertie photovoltaic system shall be installed until evidence has been given to the Planning Department that the owner has submitted notification to the utility company of the customer's intent to install an interconnected customer-owned generator. Off-grid systems are exempt from this requirement.</w:t>
      </w:r>
    </w:p>
    <w:p>
      <w:pPr>
        <w:pStyle w:val="Compact"/>
        <w:numPr>
          <w:ilvl w:val="1"/>
          <w:numId w:val="1234"/>
        </w:numPr>
      </w:pPr>
      <w:r>
        <w:t xml:space="preserve">(4) Lighting. Lighting of solar energy systems shall be consistent with local, state, and federal law. Lighting of other parts of the installation, such as appurtenant structures, shall be limited to that required for safety and operational purposes, and shall be reasonably shielded from abutting properties. Where feasible, lighting of the solar energy system shall be directed downward and shall incorporate full cut-off fixtures to reduce light pollution.</w:t>
      </w:r>
    </w:p>
    <w:p>
      <w:pPr>
        <w:pStyle w:val="Compact"/>
        <w:numPr>
          <w:ilvl w:val="1"/>
          <w:numId w:val="1234"/>
        </w:numPr>
      </w:pPr>
      <w:r>
        <w:t xml:space="preserve">(5) Screening. With the exception of roof-mounted structures, installations shall plant and properly maintain a twenty-foot-wide vegetated buffer surrounding the perimeter of the installation, consisting of plantings designed to screen the installation but not impede its solar energy capture efficiency. For major solar installations a vegetated buffer plan prepared by a registered landscape architect shall be included with the development application. The vegetative buffer shall consist of plants from the Rhode Island native plant database. All major installations shall be set back at least 50 feet from every boundary line. The twenty-foot buffer shall not begin until the fifty-foot buffer has been met.</w:t>
      </w:r>
    </w:p>
    <w:p>
      <w:pPr>
        <w:pStyle w:val="Compact"/>
        <w:numPr>
          <w:ilvl w:val="1"/>
          <w:numId w:val="1234"/>
        </w:numPr>
      </w:pPr>
      <w:r>
        <w:t xml:space="preserve">(6) Signage. Signs on solar energy systems shall comply with a municipality's sign ordinance. A sign consistent with a municipality's sign ordinance shall be required to identify the owner and provide a twenty-four-hour emergency contact phone number. Solar energy systems shall not be used for displaying any advertising except for reasonable identification of the manufacturer or operator of the solar energy system.</w:t>
      </w:r>
    </w:p>
    <w:p>
      <w:pPr>
        <w:pStyle w:val="Compact"/>
        <w:numPr>
          <w:ilvl w:val="1"/>
          <w:numId w:val="1234"/>
        </w:numPr>
      </w:pPr>
      <w:r>
        <w:t xml:space="preserve">(7) Security. With the exception of roof-mounted structures, a fence shall surround the perimeter of the installation of no less than seven and no more than 10 feet in height to prevent unauthorized access with bottom of the fence being elevated at least 16 inches rise from the ground to provide for wildlife access.</w:t>
      </w:r>
    </w:p>
    <w:p>
      <w:pPr>
        <w:pStyle w:val="Compact"/>
        <w:numPr>
          <w:ilvl w:val="1"/>
          <w:numId w:val="1234"/>
        </w:numPr>
      </w:pPr>
      <w:r>
        <w:t xml:space="preserve">(8) Utility connections. With the exception of roof-mounted structures, reasonable efforts, as determined by the Planning Department, shall be made to place utility connections from the solar photovoltaic installation underground, depending on appropriate soil conditions, shape, and topography of the site and any requirements of the utility provider.</w:t>
      </w:r>
    </w:p>
    <w:p>
      <w:pPr>
        <w:pStyle w:val="Compact"/>
        <w:numPr>
          <w:ilvl w:val="1"/>
          <w:numId w:val="1234"/>
        </w:numPr>
      </w:pPr>
      <w:r>
        <w:t xml:space="preserve">(9) Emergency services. All means of shutting down the solar energy system shall be clearly marked. For major and medium solar installations:</w:t>
      </w:r>
    </w:p>
    <w:p>
      <w:pPr>
        <w:pStyle w:val="Compact"/>
        <w:numPr>
          <w:ilvl w:val="2"/>
          <w:numId w:val="1235"/>
        </w:numPr>
      </w:pPr>
      <w:r>
        <w:t xml:space="preserve">a. The solar energy system owner or operator shall provide a copy of the project summary, electrical schematic, and site plan to the local Fire Chief.</w:t>
      </w:r>
    </w:p>
    <w:p>
      <w:pPr>
        <w:pStyle w:val="Compact"/>
        <w:numPr>
          <w:ilvl w:val="2"/>
          <w:numId w:val="1235"/>
        </w:numPr>
      </w:pPr>
      <w:r>
        <w:t xml:space="preserve">b. Upon request, the owner or operator shall cooperate with the local emergency services in developing an emergency response plan.</w:t>
      </w:r>
    </w:p>
    <w:p>
      <w:pPr>
        <w:pStyle w:val="Compact"/>
        <w:numPr>
          <w:ilvl w:val="2"/>
          <w:numId w:val="1235"/>
        </w:numPr>
      </w:pPr>
      <w:r>
        <w:t xml:space="preserve">c. Upon request, the owner or operator shall cooperate with the local emergency services to conduct a basic on-site safety and operational training.</w:t>
      </w:r>
    </w:p>
    <w:p>
      <w:pPr>
        <w:pStyle w:val="Compact"/>
        <w:numPr>
          <w:ilvl w:val="2"/>
          <w:numId w:val="1235"/>
        </w:numPr>
      </w:pPr>
      <w:r>
        <w:t xml:space="preserve">d. The owner or operator shall identify a responsible person for public inquiries throughout the life of the installation.</w:t>
      </w:r>
    </w:p>
    <w:p>
      <w:pPr>
        <w:pStyle w:val="Compact"/>
        <w:numPr>
          <w:ilvl w:val="1"/>
          <w:numId w:val="1234"/>
        </w:numPr>
      </w:pPr>
      <w:r>
        <w:t xml:space="preserve">(10) Land clearing, soil erosion and habitat impacts. With the exception of roof-mounted structures, forested areas shall not be cleared for the purpose of installing solar installations. Otherwise clearing of natural vegetation shall be limited to what is necessary for the construction, operation, and maintenance of solar energy system or otherwise prescribed by applicable laws, regulations, and bylaws/ordinances. The disturbance and removal of topsoil from the site shall be limited to those areas that are required for the installation of the proposed solar energy system. The permitting authority may give priority to proposed solar projects that utilize existing cleared land or those which minimize the impact on forest and habitat.</w:t>
      </w:r>
    </w:p>
    <w:p>
      <w:pPr>
        <w:pStyle w:val="Compact"/>
        <w:numPr>
          <w:ilvl w:val="1"/>
          <w:numId w:val="1234"/>
        </w:numPr>
      </w:pPr>
      <w:r>
        <w:t xml:space="preserve">(11) Monitoring and maintenance: solar energy system installation conditions. The solar energy system owner or operator shall maintain the facility in good condition. Maintenance shall include, but not be limited to, painting, structural repairs, and integrity of security measures. Site access shall be maintained to a level acceptable to the local Fire Chief, Emergency Management Director, and emergency medical services. The owner or operator shall be responsible for the cost of maintaining the solar energy system and any access road(s), unless accepted as a public way.</w:t>
      </w:r>
    </w:p>
    <w:p>
      <w:pPr>
        <w:pStyle w:val="Compact"/>
        <w:numPr>
          <w:ilvl w:val="1"/>
          <w:numId w:val="1234"/>
        </w:numPr>
      </w:pPr>
      <w:r>
        <w:t xml:space="preserve">(12) Modifications. All material modifications to a solar energy system made after issuance of the required building permit shall require approval by the Planning Department.</w:t>
      </w:r>
    </w:p>
    <w:p>
      <w:pPr>
        <w:pStyle w:val="Compact"/>
        <w:numPr>
          <w:ilvl w:val="1"/>
          <w:numId w:val="1234"/>
        </w:numPr>
      </w:pPr>
      <w:r>
        <w:t xml:space="preserve">(13) Financial surety. With the exception of roof-mounted structures, applicants proposing to develop major and medium solar photovoltaic projects may be required to provide a form of surety, either through escrow account, bond or otherwise, to cover the cost of removal in the event the Town must remove the facility and restore the landscape, in an amount and form determined to be reasonable by the Board (and subject to the review of the Town Solicitor), and/or as agreed to and detailed in the site lease agreements. As part of the review for the lease agreements, the applicant shall submit a fully inclusive estimate of the costs associated with removal. The amount shall include a mechanism for calculating increased removal costs due to inflation and any expected salvage or resale value. Such surety will not be required for municipally or state-owned facilities.</w:t>
      </w:r>
    </w:p>
    <w:p>
      <w:pPr>
        <w:pStyle w:val="Compact"/>
        <w:numPr>
          <w:ilvl w:val="1"/>
          <w:numId w:val="1234"/>
        </w:numPr>
      </w:pPr>
      <w:r>
        <w:t xml:space="preserve">(14) Removal requirements. With the exception of roof-mounted structures, any major or medium solar energy system that has reached the end of its useful life or has been abandoned shall be removed. Reusable components are to be recycled whenever feasible. The owner or operator shall physically remove the facility no more than 180 days after the date of discontinued operations. The owner or operator shall notify the Board by certified mail of the proposed date of discontinued operations and plans for removal. Decommissioning shall consist of:</w:t>
      </w:r>
    </w:p>
    <w:p>
      <w:pPr>
        <w:pStyle w:val="Compact"/>
        <w:numPr>
          <w:ilvl w:val="2"/>
          <w:numId w:val="1236"/>
        </w:numPr>
      </w:pPr>
      <w:r>
        <w:t xml:space="preserve">a. Physical removal of all large-scale ground-mounted solar energy systems, structures, equipment and security from the site.</w:t>
      </w:r>
    </w:p>
    <w:p>
      <w:pPr>
        <w:pStyle w:val="Compact"/>
        <w:numPr>
          <w:ilvl w:val="2"/>
          <w:numId w:val="1236"/>
        </w:numPr>
      </w:pPr>
      <w:r>
        <w:t xml:space="preserve">b. Disposal of all solid and hazardous waste in accordance with local, state, and federal waste disposal regulations.</w:t>
      </w:r>
    </w:p>
    <w:p>
      <w:pPr>
        <w:pStyle w:val="Compact"/>
        <w:numPr>
          <w:ilvl w:val="2"/>
          <w:numId w:val="1236"/>
        </w:numPr>
      </w:pPr>
      <w:r>
        <w:t xml:space="preserve">c. Stabilization or revegetation of the site as necessary to minimize erosion. The Board may allow the owner or operator to leave landscaping or designated below-grade foundations in order to minimize erosion and disruption to vegetation.</w:t>
      </w:r>
    </w:p>
    <w:p>
      <w:pPr>
        <w:pStyle w:val="Compact"/>
        <w:numPr>
          <w:ilvl w:val="1"/>
          <w:numId w:val="1234"/>
        </w:numPr>
      </w:pPr>
      <w:r>
        <w:t xml:space="preserve">(15) Abandonment. With the exception of roof-mounted structures, absent notice of a proposed date of decommissioning or written notice of extenuating circumstances, the solar energy system shall be considered abandoned when it fails to operate for more than one year without the written consent of the Town Council and Planning Board as it relates to the land development project approval. If the owner or operator of major and medium solar energy systems fails to remove the facility in accordance with the requirements of this section within 150 days of either abandonment or the proposed date of decommissioning, the Town may physically remove the facility, without further notice.</w:t>
      </w:r>
    </w:p>
    <w:bookmarkEnd w:id="18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Cumberland</dc:creator>
  <cp:keywords>Town of Cumberland, RI, Zoning Ordinance, zoning, municipal ordinance</cp:keywords>
  <dcterms:created xsi:type="dcterms:W3CDTF">2026-09-12T10:56:54Z</dcterms:created>
  <dcterms:modified xsi:type="dcterms:W3CDTF">2026-09-12T10:56:54Z</dcterms:modified>
  <dc:subject>Adopted Ordinance</dc:subject>
  <cp:lastModifiedBy>Town of Cumberland</cp:lastModifiedBy>
</cp:coreProperties>
</file>

<file path=docProps/custom.xml><?xml version="1.0" encoding="utf-8"?>
<Properties xmlns="http://schemas.openxmlformats.org/officeDocument/2006/custom-properties" xmlns:vt="http://schemas.openxmlformats.org/officeDocument/2006/docPropsVTypes"/>
</file>